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5760" w:firstLine="72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ind w:left="5760" w:firstLine="720"/>
        <w:rPr>
          <w:rFonts w:hint="default" w:ascii="Times New Roman" w:hAnsi="Times New Roman" w:cs="Times New Roman"/>
          <w:b/>
          <w:bCs/>
          <w:sz w:val="22"/>
          <w:szCs w:val="22"/>
        </w:rPr>
      </w:pPr>
    </w:p>
    <w:p>
      <w:pPr>
        <w:ind w:left="5760" w:firstLine="720"/>
        <w:rPr>
          <w:rFonts w:hint="default" w:ascii="Times New Roman" w:hAnsi="Times New Roman" w:cs="Times New Roman"/>
          <w:b/>
          <w:bCs/>
          <w:sz w:val="22"/>
          <w:szCs w:val="22"/>
        </w:rPr>
      </w:pPr>
    </w:p>
    <w:p>
      <w:pPr>
        <w:ind w:left="5760" w:firstLine="720"/>
        <w:rPr>
          <w:rFonts w:hint="default" w:ascii="Times New Roman" w:hAnsi="Times New Roman" w:cs="Times New Roman"/>
          <w:b/>
          <w:bCs/>
          <w:sz w:val="22"/>
          <w:szCs w:val="22"/>
        </w:rPr>
      </w:pPr>
    </w:p>
    <w:p>
      <w:pPr>
        <w:jc w:val="right"/>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jc w:val="right"/>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spacing w:after="120" w:line="360" w:lineRule="auto"/>
        <w:jc w:val="center"/>
        <w:rPr>
          <w:rFonts w:hint="default" w:ascii="Times New Roman" w:hAnsi="Times New Roman" w:cs="Times New Roman"/>
          <w:b/>
          <w:sz w:val="22"/>
          <w:szCs w:val="22"/>
        </w:rPr>
      </w:pPr>
    </w:p>
    <w:p>
      <w:pPr>
        <w:spacing w:after="120" w:line="360" w:lineRule="auto"/>
        <w:jc w:val="center"/>
        <w:rPr>
          <w:rFonts w:hint="default" w:ascii="Times New Roman" w:hAnsi="Times New Roman" w:cs="Times New Roman"/>
          <w:b/>
          <w:sz w:val="22"/>
          <w:szCs w:val="22"/>
        </w:rPr>
      </w:pPr>
    </w:p>
    <w:p>
      <w:pPr>
        <w:spacing w:after="120" w:line="360"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STRATEGIE DE CONTRACTARE</w:t>
      </w:r>
    </w:p>
    <w:p>
      <w:pPr>
        <w:spacing w:after="120" w:line="360" w:lineRule="auto"/>
        <w:jc w:val="center"/>
        <w:rPr>
          <w:rFonts w:hint="default" w:ascii="Times New Roman" w:hAnsi="Times New Roman" w:cs="Times New Roman"/>
          <w:b/>
          <w:bCs/>
          <w:i/>
          <w:sz w:val="22"/>
          <w:szCs w:val="22"/>
        </w:rPr>
      </w:pPr>
      <w:r>
        <w:rPr>
          <w:rFonts w:hint="default" w:ascii="Times New Roman" w:hAnsi="Times New Roman" w:cs="Times New Roman"/>
          <w:b/>
          <w:bCs/>
          <w:i/>
          <w:sz w:val="22"/>
          <w:szCs w:val="22"/>
        </w:rPr>
        <w:t>„DELEGAREA GESTIUNII SERVICIULUI DE ILUMINAT PUBLIC</w:t>
      </w:r>
    </w:p>
    <w:p>
      <w:pPr>
        <w:spacing w:after="120" w:line="360" w:lineRule="auto"/>
        <w:jc w:val="center"/>
        <w:rPr>
          <w:rFonts w:hint="default" w:ascii="Times New Roman" w:hAnsi="Times New Roman" w:cs="Times New Roman"/>
          <w:b/>
          <w:bCs/>
          <w:i/>
          <w:sz w:val="22"/>
          <w:szCs w:val="22"/>
        </w:rPr>
      </w:pPr>
      <w:r>
        <w:rPr>
          <w:rFonts w:hint="default" w:ascii="Times New Roman" w:hAnsi="Times New Roman" w:cs="Times New Roman"/>
          <w:b/>
          <w:bCs/>
          <w:i/>
          <w:sz w:val="22"/>
          <w:szCs w:val="22"/>
        </w:rPr>
        <w:t xml:space="preserve">ÎN </w:t>
      </w:r>
      <w:r>
        <w:rPr>
          <w:rFonts w:hint="default" w:cs="Times New Roman"/>
          <w:b/>
          <w:bCs/>
          <w:i/>
          <w:sz w:val="22"/>
          <w:szCs w:val="22"/>
        </w:rPr>
        <w:t>COMUNA Z</w:t>
      </w:r>
      <w:r>
        <w:rPr>
          <w:rFonts w:hint="default" w:cs="Times New Roman"/>
          <w:b/>
          <w:bCs/>
          <w:i/>
          <w:sz w:val="22"/>
          <w:szCs w:val="22"/>
          <w:lang/>
        </w:rPr>
        <w:t>Ă</w:t>
      </w:r>
      <w:r>
        <w:rPr>
          <w:rFonts w:hint="default" w:cs="Times New Roman"/>
          <w:b/>
          <w:bCs/>
          <w:i/>
          <w:sz w:val="22"/>
          <w:szCs w:val="22"/>
        </w:rPr>
        <w:t>TRENI</w:t>
      </w:r>
      <w:r>
        <w:rPr>
          <w:rFonts w:hint="default" w:ascii="Times New Roman" w:hAnsi="Times New Roman" w:cs="Times New Roman"/>
          <w:b/>
          <w:bCs/>
          <w:i/>
          <w:sz w:val="22"/>
          <w:szCs w:val="22"/>
        </w:rPr>
        <w:t>”</w:t>
      </w:r>
    </w:p>
    <w:p>
      <w:pPr>
        <w:spacing w:after="120" w:line="360" w:lineRule="auto"/>
        <w:jc w:val="center"/>
        <w:rPr>
          <w:rFonts w:hint="default" w:ascii="Times New Roman" w:hAnsi="Times New Roman" w:cs="Times New Roman"/>
          <w:b/>
          <w:bCs/>
          <w:i/>
          <w:sz w:val="22"/>
          <w:szCs w:val="22"/>
        </w:rPr>
      </w:pPr>
    </w:p>
    <w:p>
      <w:pPr>
        <w:spacing w:after="120" w:line="360" w:lineRule="auto"/>
        <w:jc w:val="center"/>
        <w:rPr>
          <w:rFonts w:hint="default" w:ascii="Times New Roman" w:hAnsi="Times New Roman" w:cs="Times New Roman"/>
          <w:b/>
          <w:sz w:val="22"/>
          <w:szCs w:val="22"/>
        </w:rPr>
      </w:pPr>
    </w:p>
    <w:p>
      <w:pPr>
        <w:autoSpaceDE w:val="0"/>
        <w:autoSpaceDN w:val="0"/>
        <w:adjustRightInd w:val="0"/>
        <w:spacing w:after="6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Având în vedere prevederile: </w:t>
      </w:r>
    </w:p>
    <w:p>
      <w:pPr>
        <w:numPr>
          <w:ilvl w:val="0"/>
          <w:numId w:val="1"/>
        </w:numPr>
        <w:spacing w:after="60" w:line="360" w:lineRule="auto"/>
        <w:jc w:val="both"/>
        <w:rPr>
          <w:rFonts w:hint="default" w:ascii="Times New Roman" w:hAnsi="Times New Roman" w:cs="Times New Roman"/>
          <w:i/>
          <w:sz w:val="22"/>
          <w:szCs w:val="22"/>
        </w:rPr>
      </w:pPr>
      <w:r>
        <w:rPr>
          <w:rFonts w:hint="default" w:ascii="Times New Roman" w:hAnsi="Times New Roman" w:cs="Times New Roman"/>
          <w:i/>
          <w:sz w:val="22"/>
          <w:szCs w:val="22"/>
        </w:rPr>
        <w:t xml:space="preserve">art. 9 </w:t>
      </w:r>
      <w:r>
        <w:rPr>
          <w:rFonts w:hint="default" w:ascii="Times New Roman" w:hAnsi="Times New Roman" w:cs="Times New Roman"/>
          <w:sz w:val="22"/>
          <w:szCs w:val="22"/>
        </w:rPr>
        <w:t>din</w:t>
      </w:r>
      <w:r>
        <w:rPr>
          <w:rFonts w:hint="default" w:ascii="Times New Roman" w:hAnsi="Times New Roman" w:cs="Times New Roman"/>
          <w:i/>
          <w:sz w:val="22"/>
          <w:szCs w:val="22"/>
        </w:rPr>
        <w:t xml:space="preserve"> H.G. nr. 395/2016 privind Normele Metodologice de aplicare a prevederilor referitoare la atribuirea contractului de achiziţie publică/acordului-cadru din Legea.    nr. 98/2016 privind achiziţiile publice</w:t>
      </w:r>
      <w:r>
        <w:rPr>
          <w:rFonts w:hint="default" w:ascii="Times New Roman" w:hAnsi="Times New Roman" w:cs="Times New Roman"/>
          <w:sz w:val="22"/>
          <w:szCs w:val="22"/>
        </w:rPr>
        <w:t>;</w:t>
      </w:r>
      <w:r>
        <w:rPr>
          <w:rFonts w:hint="default" w:ascii="Times New Roman" w:hAnsi="Times New Roman" w:cs="Times New Roman"/>
          <w:i/>
          <w:sz w:val="22"/>
          <w:szCs w:val="22"/>
        </w:rPr>
        <w:t xml:space="preserve">  </w:t>
      </w:r>
    </w:p>
    <w:p>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strategia de contractare este un document care face parte din etapa de planificare/ pregătire a procesului de achiziție publică, prin intermediul căreia autoritatea contractantă își documentează deciziile pe care le ia înainte de organizarea propriu-zisă a procedurii de atribuire. </w:t>
      </w:r>
    </w:p>
    <w:p>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Potrivit art. 9, alin. (3) din H.G. nr. 395/2016, strategia de contractare cuprinde informaţii cu privire la:</w:t>
      </w:r>
    </w:p>
    <w:p>
      <w:pPr>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a) relaţia dintre obiectul, constrângerile asociate şi complexitatea contractului, pe de o parte, şi resursele disponibile la nivel de autoritate contractantă pentru derularea activităţilor din etapele procesului de achiziţie publică, pe de altă parte:</w:t>
      </w:r>
    </w:p>
    <w:p>
      <w:p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Complexitatea procesului de achizitie publica este medie, astfel incat autoritatea contractanta va folosi pentru a derula etapele procedurii de atribuire urmatoarele resursele profesionale disponibile:</w:t>
      </w:r>
    </w:p>
    <w:p>
      <w:pPr>
        <w:numPr>
          <w:ilvl w:val="0"/>
          <w:numId w:val="2"/>
        </w:num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cu resursele profesionale proprii -</w:t>
      </w:r>
    </w:p>
    <w:p>
      <w:pPr>
        <w:numPr>
          <w:ilvl w:val="0"/>
          <w:numId w:val="2"/>
        </w:num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cu ajutorul unui furnizor de servicii auxiliare achiziţiei, conform art. 126 alin. 3 din HG 395/2016, pe baza contractului încheiat între Autoritatea Contractantă și Prestator. </w:t>
      </w:r>
    </w:p>
    <w:p>
      <w:p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 xml:space="preserve">Resursele umane proprii vor fi folosite pe parcursul evaluării ofertelor, respectiv stabilirii ofertei câștigătoare. </w:t>
      </w:r>
    </w:p>
    <w:p>
      <w:pPr>
        <w:spacing w:after="120" w:line="360" w:lineRule="auto"/>
        <w:jc w:val="both"/>
        <w:rPr>
          <w:rFonts w:hint="default" w:ascii="Times New Roman" w:hAnsi="Times New Roman" w:cs="Times New Roman"/>
          <w:b/>
          <w:color w:val="000000"/>
          <w:sz w:val="22"/>
          <w:szCs w:val="22"/>
        </w:rPr>
      </w:pPr>
      <w:r>
        <w:rPr>
          <w:rFonts w:hint="default" w:ascii="Times New Roman" w:hAnsi="Times New Roman" w:cs="Times New Roman"/>
          <w:sz w:val="22"/>
          <w:szCs w:val="22"/>
        </w:rPr>
        <w:tab/>
      </w:r>
      <w:r>
        <w:rPr>
          <w:rFonts w:hint="default" w:ascii="Times New Roman" w:hAnsi="Times New Roman" w:cs="Times New Roman"/>
          <w:b/>
          <w:color w:val="000000"/>
          <w:sz w:val="22"/>
          <w:szCs w:val="22"/>
        </w:rPr>
        <w:t>Categoria de produse si obiectul contractului</w:t>
      </w:r>
    </w:p>
    <w:p>
      <w:pPr>
        <w:spacing w:after="120" w:line="360" w:lineRule="auto"/>
        <w:jc w:val="both"/>
        <w:rPr>
          <w:rFonts w:hint="default" w:ascii="Times New Roman" w:hAnsi="Times New Roman" w:cs="Times New Roman"/>
          <w:b/>
          <w:bCs/>
          <w:i/>
          <w:sz w:val="22"/>
          <w:szCs w:val="22"/>
        </w:rPr>
      </w:pPr>
      <w:r>
        <w:rPr>
          <w:rFonts w:hint="default" w:ascii="Times New Roman" w:hAnsi="Times New Roman" w:cs="Times New Roman"/>
          <w:color w:val="000000"/>
          <w:sz w:val="22"/>
          <w:szCs w:val="22"/>
        </w:rPr>
        <w:t xml:space="preserve">Servicii - </w:t>
      </w:r>
      <w:r>
        <w:rPr>
          <w:rFonts w:hint="default" w:ascii="Times New Roman" w:hAnsi="Times New Roman" w:cs="Times New Roman"/>
          <w:b/>
          <w:bCs/>
          <w:i/>
          <w:sz w:val="22"/>
          <w:szCs w:val="22"/>
        </w:rPr>
        <w:t>„DELEGAREA GESTIUNII SERVICIULUI DE ILUMINAT PUBLIC ÎN COMUNA ZĂTRENI”</w:t>
      </w:r>
    </w:p>
    <w:p>
      <w:pPr>
        <w:spacing w:after="120" w:line="360" w:lineRule="auto"/>
        <w:jc w:val="both"/>
        <w:rPr>
          <w:rFonts w:hint="default" w:ascii="Times New Roman" w:hAnsi="Times New Roman" w:cs="Times New Roman"/>
          <w:b/>
          <w:bCs/>
          <w:i/>
          <w:sz w:val="22"/>
          <w:szCs w:val="22"/>
        </w:rPr>
      </w:pPr>
      <w:r>
        <w:rPr>
          <w:rFonts w:hint="default" w:ascii="Times New Roman" w:hAnsi="Times New Roman" w:cs="Times New Roman"/>
          <w:b/>
          <w:sz w:val="22"/>
          <w:szCs w:val="22"/>
        </w:rPr>
        <w:t>Cod de clasificare CPV:</w:t>
      </w:r>
      <w:r>
        <w:rPr>
          <w:rFonts w:hint="default" w:ascii="Times New Roman" w:hAnsi="Times New Roman" w:cs="Times New Roman"/>
          <w:b/>
          <w:sz w:val="22"/>
          <w:szCs w:val="22"/>
        </w:rPr>
        <w:tab/>
      </w:r>
      <w:r>
        <w:rPr>
          <w:rFonts w:hint="default" w:ascii="Times New Roman" w:hAnsi="Times New Roman" w:cs="Times New Roman"/>
          <w:b/>
          <w:sz w:val="22"/>
          <w:szCs w:val="22"/>
        </w:rPr>
        <w:tab/>
      </w:r>
    </w:p>
    <w:p>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50232100-1 Servicii de intretinere a iluminatului public (Rev.2) </w:t>
      </w:r>
    </w:p>
    <w:p>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45316100-6 Instalare de echipament de iluminare exterioara (Rev.2)</w:t>
      </w:r>
    </w:p>
    <w:p>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50232110-4 Reconditionarea instalatiilor de iluminare publica (Rev.2) </w:t>
      </w:r>
    </w:p>
    <w:p>
      <w:pPr>
        <w:spacing w:after="120" w:line="36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Valoarea estimata a achizitiei</w:t>
      </w:r>
      <w:r>
        <w:rPr>
          <w:rFonts w:hint="default" w:ascii="Times New Roman" w:hAnsi="Times New Roman" w:cs="Times New Roman"/>
          <w:b/>
          <w:color w:val="000000"/>
          <w:sz w:val="22"/>
          <w:szCs w:val="22"/>
        </w:rPr>
        <w:tab/>
      </w:r>
    </w:p>
    <w:p>
      <w:pPr>
        <w:spacing w:after="120" w:line="360" w:lineRule="auto"/>
        <w:jc w:val="both"/>
        <w:rPr>
          <w:rFonts w:hint="default" w:ascii="Times New Roman" w:hAnsi="Times New Roman" w:cs="Times New Roman"/>
          <w:b/>
          <w:color w:val="000000"/>
          <w:sz w:val="22"/>
          <w:szCs w:val="22"/>
        </w:rPr>
      </w:pPr>
      <w:r>
        <w:rPr>
          <w:rFonts w:hint="default" w:ascii="Times New Roman" w:hAnsi="Times New Roman" w:cs="Times New Roman"/>
          <w:color w:val="000000"/>
          <w:sz w:val="22"/>
          <w:szCs w:val="22"/>
        </w:rPr>
        <w:t>Valoarea estimata a serviciilor este de</w:t>
      </w:r>
      <w:r>
        <w:rPr>
          <w:rFonts w:hint="default" w:ascii="Times New Roman" w:hAnsi="Times New Roman" w:cs="Times New Roman"/>
          <w:sz w:val="22"/>
          <w:szCs w:val="22"/>
        </w:rPr>
        <w:t xml:space="preserve">: </w:t>
      </w:r>
      <w:r>
        <w:rPr>
          <w:rFonts w:hint="default" w:cs="Times New Roman"/>
          <w:sz w:val="22"/>
          <w:szCs w:val="22"/>
          <w:lang/>
        </w:rPr>
        <w:t>268730,45</w:t>
      </w:r>
      <w:r>
        <w:rPr>
          <w:rFonts w:hint="default" w:ascii="Times New Roman" w:hAnsi="Times New Roman" w:cs="Times New Roman"/>
          <w:b/>
          <w:color w:val="FF0000"/>
          <w:sz w:val="22"/>
          <w:szCs w:val="22"/>
        </w:rPr>
        <w:t xml:space="preserve"> </w:t>
      </w:r>
      <w:r>
        <w:rPr>
          <w:rFonts w:hint="default" w:ascii="Times New Roman" w:hAnsi="Times New Roman" w:cs="Times New Roman"/>
          <w:b/>
          <w:color w:val="000000"/>
          <w:sz w:val="22"/>
          <w:szCs w:val="22"/>
        </w:rPr>
        <w:t>lei fara T.V.A.</w:t>
      </w:r>
    </w:p>
    <w:p>
      <w:pPr>
        <w:spacing w:after="120"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Modul de calcul al valorii estimate a contractului este calculată conform regulilor prevăzute în paragraful 3, din Legea nr. 98/2016, respectiv Secțiunea a 2  din H.G. nr. 395/2016.</w:t>
      </w:r>
    </w:p>
    <w:p>
      <w:pPr>
        <w:spacing w:after="120" w:line="360" w:lineRule="auto"/>
        <w:jc w:val="both"/>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Sursa de finantare: </w:t>
      </w:r>
      <w:r>
        <w:rPr>
          <w:rFonts w:hint="default" w:ascii="Times New Roman" w:hAnsi="Times New Roman" w:cs="Times New Roman"/>
          <w:color w:val="000000"/>
          <w:sz w:val="22"/>
          <w:szCs w:val="22"/>
        </w:rPr>
        <w:t>Bugetul local</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Împărțire pe loturi: Nu</w:t>
      </w:r>
    </w:p>
    <w:p>
      <w:pPr>
        <w:spacing w:after="160" w:line="259"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Descrierea achiziției publice:</w:t>
      </w:r>
    </w:p>
    <w:p>
      <w:p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Contract de prestari servicii avand ca obiect: „DELEGAREA GESTIUNII SERVICIULUI DE ILUMINAT PUBLIC ÎN COMUNA ZATRENI”  (întreținere, mentenanța sistemului de iluminat public ), constand in:</w:t>
      </w:r>
    </w:p>
    <w:p>
      <w:pPr>
        <w:spacing w:after="160" w:line="259"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Servicii privind exploatarea, întretinerea, revizia și repararea sistemului de iluminat public, </w:t>
      </w:r>
    </w:p>
    <w:p>
      <w:pPr>
        <w:spacing w:after="120" w:line="36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b) procedura de atribuire aleasă, precum şi modalităţile speciale de atribuire a contractului de achiziţie publică asociate, dacă este cazul;</w:t>
      </w:r>
    </w:p>
    <w:p>
      <w:pPr>
        <w:spacing w:after="120"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În raport cu valoarea estimată a procedurii de atribuire, respectiv ----------------------------------</w:t>
      </w:r>
      <w:r>
        <w:rPr>
          <w:rFonts w:hint="default" w:ascii="Times New Roman" w:hAnsi="Times New Roman" w:cs="Times New Roman"/>
          <w:b/>
          <w:color w:val="000000"/>
          <w:sz w:val="22"/>
          <w:szCs w:val="22"/>
        </w:rPr>
        <w:t xml:space="preserve"> lei  fără TVA </w:t>
      </w:r>
      <w:r>
        <w:rPr>
          <w:rFonts w:hint="default" w:ascii="Times New Roman" w:hAnsi="Times New Roman" w:cs="Times New Roman"/>
          <w:color w:val="000000"/>
          <w:sz w:val="22"/>
          <w:szCs w:val="22"/>
        </w:rPr>
        <w:t xml:space="preserve">și având în vedere dispozițiile art. 7 alin. (5),alin(6), alin (7), alin (8) din Legea 98/2016 privind achiztiile publice </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cs="Times New Roman"/>
          <w:color w:val="000000"/>
          <w:sz w:val="22"/>
          <w:szCs w:val="22"/>
        </w:rPr>
        <w:t xml:space="preserve">" (5) </w:t>
      </w:r>
      <w:r>
        <w:rPr>
          <w:rFonts w:hint="default" w:ascii="Times New Roman" w:hAnsi="Times New Roman" w:eastAsia="SimSun" w:cs="Times New Roman"/>
          <w:i w:val="0"/>
          <w:caps w:val="0"/>
          <w:color w:val="000000"/>
          <w:spacing w:val="0"/>
          <w:sz w:val="22"/>
          <w:szCs w:val="22"/>
          <w:shd w:val="clear" w:color="auto" w:fill="FFFFFF"/>
        </w:rPr>
        <w:t>Autoritatea contractantă are dreptul de a achiziționa direct produse sau servicii în cazul în care valoarea estimată a achiziției, fără TVA, este mai mică de 270.120 lei, respectiv lucrări, în cazul în care valoarea estimată a achiziției, fără TVA, este mai mică de 900.400 lei.</w:t>
      </w:r>
      <w:r>
        <w:rPr>
          <w:rFonts w:hint="default" w:eastAsia="SimSun" w:cs="Times New Roman"/>
          <w:i w:val="0"/>
          <w:caps w:val="0"/>
          <w:color w:val="000000"/>
          <w:spacing w:val="0"/>
          <w:sz w:val="22"/>
          <w:szCs w:val="22"/>
          <w:shd w:val="clear" w:color="auto" w:fill="FFFFFF"/>
        </w:rPr>
        <w:t>"</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i w:val="0"/>
          <w:caps w:val="0"/>
          <w:color w:val="000000"/>
          <w:spacing w:val="0"/>
          <w:sz w:val="22"/>
          <w:szCs w:val="22"/>
          <w:shd w:val="clear" w:color="auto" w:fill="FFFFFF"/>
        </w:rPr>
        <w:t xml:space="preserve"> "(6) Angajamentul legal prin care se angajează cheltuielile aferente achiziției directe poate lua forma unui contract de achiziție publică sau a unei comenzi ori a altui tip de document încheiat în condițiile legii, inclusiv în cazul achizițiilor inițiate prin intermediul instrumentelor de plată ce permit posesorului să le utilizeze în relația cu comercianții în vederea efectuării de plăți, fără numerar, pentru achiziționarea de produse, servicii și/sau lucrări prin intermediul unui terminal, cum ar fi, dar fără a se limita la acestea, cardurile de plată și/sau portofele electronice."</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i w:val="0"/>
          <w:caps w:val="0"/>
          <w:color w:val="000000"/>
          <w:spacing w:val="0"/>
          <w:sz w:val="22"/>
          <w:szCs w:val="22"/>
          <w:shd w:val="clear" w:color="auto" w:fill="FFFFFF"/>
        </w:rPr>
        <w:t>(7) În cazul achiziției directe, autoritatea contractantă:</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b/>
          <w:i w:val="0"/>
          <w:caps w:val="0"/>
          <w:color w:val="000000"/>
          <w:spacing w:val="0"/>
          <w:sz w:val="22"/>
          <w:szCs w:val="22"/>
          <w:shd w:val="clear" w:color="auto" w:fill="FFFFFF"/>
        </w:rPr>
        <w:t>a)</w:t>
      </w:r>
      <w:r>
        <w:rPr>
          <w:rFonts w:hint="default" w:ascii="Times New Roman" w:hAnsi="Times New Roman" w:eastAsia="SimSun" w:cs="Times New Roman"/>
          <w:i w:val="0"/>
          <w:caps w:val="0"/>
          <w:color w:val="000000"/>
          <w:spacing w:val="0"/>
          <w:sz w:val="22"/>
          <w:szCs w:val="22"/>
          <w:shd w:val="clear" w:color="auto" w:fill="FFFFFF"/>
        </w:rPr>
        <w:t> are obligația de a utiliza catalogul electronic pus la dispoziție de SEAP sau de a publica un anunț într-o secțiune dedicată a website-ului propriu sau al SEAP, însoțit de descrierea produselor, serviciilor sau a lucrărilor care urmează a fi achiziționate, pentru achizițiile a căror valoare estimată este mai mare de 200.000 lei, fără TVA, pentru produse și servicii, respectiv 560.000 lei, fără TVA, pentru lucrări;</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b/>
          <w:i w:val="0"/>
          <w:caps w:val="0"/>
          <w:color w:val="000000"/>
          <w:spacing w:val="0"/>
          <w:sz w:val="22"/>
          <w:szCs w:val="22"/>
          <w:shd w:val="clear" w:color="auto" w:fill="FFFFFF"/>
        </w:rPr>
        <w:t>b)</w:t>
      </w:r>
      <w:r>
        <w:rPr>
          <w:rFonts w:hint="default" w:ascii="Times New Roman" w:hAnsi="Times New Roman" w:eastAsia="SimSun" w:cs="Times New Roman"/>
          <w:i w:val="0"/>
          <w:caps w:val="0"/>
          <w:color w:val="000000"/>
          <w:spacing w:val="0"/>
          <w:sz w:val="22"/>
          <w:szCs w:val="22"/>
          <w:shd w:val="clear" w:color="auto" w:fill="FFFFFF"/>
        </w:rPr>
        <w:t> are obligația de a consulta minimum trei operatori economici pentru achizițiile a căror valoare estimată este mai mare de 140.000 lei, fără TVA, pentru produse și servicii, respectiv 300.000 lei, fără TVA, pentru lucrări, dar mai mică sau egală cu valoarea menționată la </w:t>
      </w:r>
      <w:r>
        <w:rPr>
          <w:rFonts w:hint="default" w:ascii="Times New Roman" w:hAnsi="Times New Roman" w:eastAsia="SimSun" w:cs="Times New Roman"/>
          <w:i w:val="0"/>
          <w:caps w:val="0"/>
          <w:color w:val="000000"/>
          <w:spacing w:val="0"/>
          <w:sz w:val="22"/>
          <w:szCs w:val="22"/>
          <w:u w:val="single"/>
          <w:shd w:val="clear" w:color="auto" w:fill="FFFFFF"/>
        </w:rPr>
        <w:t>lit. a)</w:t>
      </w:r>
      <w:r>
        <w:rPr>
          <w:rFonts w:hint="default" w:ascii="Times New Roman" w:hAnsi="Times New Roman" w:eastAsia="SimSun" w:cs="Times New Roman"/>
          <w:i w:val="0"/>
          <w:caps w:val="0"/>
          <w:color w:val="000000"/>
          <w:spacing w:val="0"/>
          <w:sz w:val="22"/>
          <w:szCs w:val="22"/>
          <w:shd w:val="clear" w:color="auto" w:fill="FFFFFF"/>
        </w:rPr>
        <w:t>; dacă în urma consultării autoritatea contractantă primește doar o ofertă valabilă din punctul de vedere al cerințelor solicitate, achiziția poate fi realizată;</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b/>
          <w:i w:val="0"/>
          <w:caps w:val="0"/>
          <w:color w:val="000000"/>
          <w:spacing w:val="0"/>
          <w:sz w:val="22"/>
          <w:szCs w:val="22"/>
          <w:shd w:val="clear" w:color="auto" w:fill="FFFFFF"/>
        </w:rPr>
        <w:t>c)</w:t>
      </w:r>
      <w:r>
        <w:rPr>
          <w:rFonts w:hint="default" w:ascii="Times New Roman" w:hAnsi="Times New Roman" w:eastAsia="SimSun" w:cs="Times New Roman"/>
          <w:i w:val="0"/>
          <w:caps w:val="0"/>
          <w:color w:val="000000"/>
          <w:spacing w:val="0"/>
          <w:sz w:val="22"/>
          <w:szCs w:val="22"/>
          <w:shd w:val="clear" w:color="auto" w:fill="FFFFFF"/>
        </w:rPr>
        <w:t> are dreptul de a achiziționa pe baza unei singure oferte dacă valoarea estimată a achiziției este mai mică sau egală cu 140.000 lei, fără TVA, pentru produse și servicii, respectiv 300.000 lei, fără TVA, pentru lucrări;</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b/>
          <w:i w:val="0"/>
          <w:caps w:val="0"/>
          <w:color w:val="000000"/>
          <w:spacing w:val="0"/>
          <w:sz w:val="22"/>
          <w:szCs w:val="22"/>
          <w:shd w:val="clear" w:color="auto" w:fill="FFFFFF"/>
        </w:rPr>
        <w:t>d)</w:t>
      </w:r>
      <w:r>
        <w:rPr>
          <w:rFonts w:hint="default" w:ascii="Times New Roman" w:hAnsi="Times New Roman" w:eastAsia="SimSun" w:cs="Times New Roman"/>
          <w:i w:val="0"/>
          <w:caps w:val="0"/>
          <w:color w:val="000000"/>
          <w:spacing w:val="0"/>
          <w:sz w:val="22"/>
          <w:szCs w:val="22"/>
          <w:shd w:val="clear" w:color="auto" w:fill="FFFFFF"/>
        </w:rPr>
        <w:t> are dreptul de a plăti direct, pe baza angajamentului legal, fără acceptarea prealabilă a unei oferte, dacă valoarea estimată a achiziției este mai mică de 9.000 lei, fără TVA.(la 10-09-2022, Articolul 7 din Paragraful 1 , Sectiunea a 4-a , Capitolul I a fost completat de </w:t>
      </w:r>
      <w:r>
        <w:rPr>
          <w:rFonts w:hint="default" w:ascii="Times New Roman" w:hAnsi="Times New Roman" w:eastAsia="SimSun" w:cs="Times New Roman"/>
          <w:i w:val="0"/>
          <w:caps w:val="0"/>
          <w:color w:val="000000"/>
          <w:spacing w:val="0"/>
          <w:sz w:val="22"/>
          <w:szCs w:val="22"/>
          <w:shd w:val="clear" w:color="auto" w:fill="FFFFFF"/>
        </w:rPr>
        <w:fldChar w:fldCharType="begin"/>
      </w:r>
      <w:r>
        <w:rPr>
          <w:rFonts w:hint="default" w:ascii="Times New Roman" w:hAnsi="Times New Roman" w:eastAsia="SimSun" w:cs="Times New Roman"/>
          <w:i w:val="0"/>
          <w:caps w:val="0"/>
          <w:color w:val="000000"/>
          <w:spacing w:val="0"/>
          <w:sz w:val="22"/>
          <w:szCs w:val="22"/>
          <w:shd w:val="clear" w:color="auto" w:fill="FFFFFF"/>
        </w:rPr>
        <w:instrText xml:space="preserve"> HYPERLINK "https://legislatie.just.ro/Public/DetaliiDocumentAfis/257468" </w:instrText>
      </w:r>
      <w:r>
        <w:rPr>
          <w:rFonts w:hint="default" w:ascii="Times New Roman" w:hAnsi="Times New Roman" w:eastAsia="SimSun" w:cs="Times New Roman"/>
          <w:i w:val="0"/>
          <w:caps w:val="0"/>
          <w:color w:val="000000"/>
          <w:spacing w:val="0"/>
          <w:sz w:val="22"/>
          <w:szCs w:val="22"/>
          <w:shd w:val="clear" w:color="auto" w:fill="FFFFFF"/>
        </w:rPr>
        <w:fldChar w:fldCharType="separate"/>
      </w:r>
      <w:r>
        <w:rPr>
          <w:rStyle w:val="6"/>
          <w:rFonts w:hint="default" w:ascii="Times New Roman" w:hAnsi="Times New Roman" w:eastAsia="SimSun" w:cs="Times New Roman"/>
          <w:i w:val="0"/>
          <w:caps w:val="0"/>
          <w:color w:val="000000"/>
          <w:spacing w:val="0"/>
          <w:sz w:val="22"/>
          <w:szCs w:val="22"/>
          <w:shd w:val="clear" w:color="auto" w:fill="FFFFFF"/>
        </w:rPr>
        <w:t>Punctul 2, Articolul I din LEGEA nr. 208 din 11 iulie 2022, publicată în MONITORUL OFICIAL nr. 697 din 12 iulie 2022</w:t>
      </w:r>
      <w:r>
        <w:rPr>
          <w:rFonts w:hint="default" w:ascii="Times New Roman" w:hAnsi="Times New Roman" w:eastAsia="SimSun" w:cs="Times New Roman"/>
          <w:i w:val="0"/>
          <w:caps w:val="0"/>
          <w:color w:val="000000"/>
          <w:spacing w:val="0"/>
          <w:sz w:val="22"/>
          <w:szCs w:val="22"/>
          <w:shd w:val="clear" w:color="auto" w:fill="FFFFFF"/>
        </w:rPr>
        <w:fldChar w:fldCharType="end"/>
      </w:r>
      <w:r>
        <w:rPr>
          <w:rFonts w:hint="default" w:ascii="Times New Roman" w:hAnsi="Times New Roman" w:eastAsia="SimSun" w:cs="Times New Roman"/>
          <w:i w:val="0"/>
          <w:caps w:val="0"/>
          <w:color w:val="000000"/>
          <w:spacing w:val="0"/>
          <w:sz w:val="22"/>
          <w:szCs w:val="22"/>
          <w:shd w:val="clear" w:color="auto" w:fill="FFFFFF"/>
        </w:rPr>
        <w:t> )</w:t>
      </w:r>
    </w:p>
    <w:p>
      <w:pPr>
        <w:numPr>
          <w:numId w:val="0"/>
        </w:numPr>
        <w:spacing w:after="120" w:line="360" w:lineRule="auto"/>
        <w:jc w:val="both"/>
        <w:rPr>
          <w:rFonts w:hint="default" w:ascii="Times New Roman" w:hAnsi="Times New Roman" w:eastAsia="SimSun" w:cs="Times New Roman"/>
          <w:i w:val="0"/>
          <w:caps w:val="0"/>
          <w:color w:val="000000"/>
          <w:spacing w:val="0"/>
          <w:sz w:val="22"/>
          <w:szCs w:val="22"/>
          <w:shd w:val="clear" w:color="auto" w:fill="FFFFFF"/>
        </w:rPr>
      </w:pPr>
      <w:r>
        <w:rPr>
          <w:rFonts w:hint="default" w:ascii="Times New Roman" w:hAnsi="Times New Roman" w:eastAsia="SimSun" w:cs="Times New Roman"/>
          <w:i w:val="0"/>
          <w:caps w:val="0"/>
          <w:color w:val="000000"/>
          <w:spacing w:val="0"/>
          <w:sz w:val="22"/>
          <w:szCs w:val="22"/>
          <w:shd w:val="clear" w:color="auto" w:fill="FFFFFF"/>
        </w:rPr>
        <w:t>(8) Autoritatea contractantă are obligația trimestrial de a transmite în SEAP o notificare cu privire la achizițiile directe, grupate pe necesitate, care să cuprindă cel puțin obiectul, cantitatea achiziționată, valoarea și codul CPV, cu excepția achizițiilor realizate prin utilizarea catalogului electronic SEAP, în baza prevederilor </w:t>
      </w:r>
      <w:r>
        <w:rPr>
          <w:rFonts w:hint="default" w:ascii="Times New Roman" w:hAnsi="Times New Roman" w:eastAsia="SimSun" w:cs="Times New Roman"/>
          <w:i w:val="0"/>
          <w:caps w:val="0"/>
          <w:color w:val="000000"/>
          <w:spacing w:val="0"/>
          <w:sz w:val="22"/>
          <w:szCs w:val="22"/>
          <w:u w:val="single"/>
          <w:shd w:val="clear" w:color="auto" w:fill="FFFFFF"/>
        </w:rPr>
        <w:t>alin. (7) lit. a)</w:t>
      </w:r>
      <w:r>
        <w:rPr>
          <w:rFonts w:hint="default" w:ascii="Times New Roman" w:hAnsi="Times New Roman" w:eastAsia="SimSun" w:cs="Times New Roman"/>
          <w:i w:val="0"/>
          <w:caps w:val="0"/>
          <w:color w:val="000000"/>
          <w:spacing w:val="0"/>
          <w:sz w:val="22"/>
          <w:szCs w:val="22"/>
          <w:shd w:val="clear" w:color="auto" w:fill="FFFFFF"/>
        </w:rPr>
        <w:t>.</w:t>
      </w:r>
    </w:p>
    <w:p>
      <w:p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De asemenea, HG 395/2016 aduce precizări detaliate privind felul în care se calculează valoarea estimată relevantă pentru alegerea procedurii. Aceste reguli detaliate de normele de aplicare au ca scop evitarea situaţiilor prevăzute la art. 11 alin. (2) din Legea 98/2016, respectiv de divizare artificială a contractelor ori de subevaluare a valorii estimate, în scopul ocolirii pragurilor care impun proceduri competitive, dar, pe de altă parte, produc și dificultăţi de interpretare.</w:t>
      </w:r>
    </w:p>
    <w:p>
      <w:pPr>
        <w:spacing w:after="120"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Regula generală este definită de art. 17 alin. (1) și (2) al HG 395/2016 în cazul achiziţiilor clasice. Totodată, astfel cum se prevede la art. 17 alin. (1) lit. a) și alin. (2) din H.G. nr. 395/2016, autoritatea contractantă alege modalitatea de achiziție în funcţie de valoarea estimată a tuturor achiziţiilor cu acelaşi obiect sau destinate utilizării identice ori similare, ori care se adresează operatorilor economici ce desfăşoară constant activităţi într-o piaţă de profil relevantă, pe care autoritatea contractantă intenţionează să le atribuie în cursul unui an bugetar, având obligația să se raporteze la valoarea estimată cumulată a produselor, serviciilor şi lucrărilor care sunt considerate similare. </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c) tipul de contract propus şi modalitatea de implementare a acestuia;</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Conform art. 22 si art. 29 din Legea serviciilor comunitare de utilitati publice nr. 51/20016, tipul contractului propus este contract de delegare a gestiunii prin achizitie publica de servicii.</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 (1) Autoritățile administrației publice locale sunt libere să hotărască asupra modalității de gestiune a serviciilor de utilități publice aflate sub responsabilitatea lor. Autoritățile administrației publice au posibilitatea de a gestiona în mod direct serviciile de utilități publice în baza unei hotărâri de dare în administrare sau de a încredința gestiunea acestora, respectiv toate ori numai o parte din competențele și responsabilitățile proprii privind furnizarea/prestarea unui serviciu de utilități publice ori a uneia sau mai multor activități din sfera respectivului serviciu de utilități publice, în baza unui contract de delegare a gestiunii."</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Autoritatea Contractanta a ales ca modalitate de atribuire a contractului: contract de achizitie publica de servicii, in baza prevederilor art. 29, alin.(8) din legea amintita mai sus.</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highlight w:val="yellow"/>
          <w:lang w:eastAsia="en-US"/>
        </w:rPr>
        <w:t>Studiul de oportunitate a fost aprobat prin HCL nr.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Cat priveste implementarea contractului ce urmeaza a fi atribuit, recepția serviciilor se va face lunar în baza rapoartelor prezentate de către contractant.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Executantul va prezenta lunar, pe lângă situaţia de lucrări, şi un tabel (care vor fi contrasemnate / aprobate de către un reprezentant al sectorului/compartimentului din cadrul Primăriei responsabil cu administrarea obiectivului unde s-au efectuat lucrări) care va cuprinde: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b/>
      </w:r>
      <w:r>
        <w:rPr>
          <w:rFonts w:hint="default" w:ascii="Times New Roman" w:hAnsi="Times New Roman" w:cs="Times New Roman"/>
          <w:sz w:val="22"/>
          <w:szCs w:val="22"/>
          <w:lang w:eastAsia="en-US"/>
        </w:rPr>
        <w:t xml:space="preserve">- locaţiile unde s-au efectuat lucrări (diagnosticări) în luna respectivă,(inclusiv pe cat posibil cu precizarea numarului stalpului/precizarea cat mai exacta a locatiei)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b/>
      </w:r>
      <w:r>
        <w:rPr>
          <w:rFonts w:hint="default" w:ascii="Times New Roman" w:hAnsi="Times New Roman" w:cs="Times New Roman"/>
          <w:sz w:val="22"/>
          <w:szCs w:val="22"/>
          <w:lang w:eastAsia="en-US"/>
        </w:rPr>
        <w:t>- tipul şi puterea surselor de lumină sau accesorilor defecte înlocuite / locaţie,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b/>
      </w:r>
      <w:r>
        <w:rPr>
          <w:rFonts w:hint="default" w:ascii="Times New Roman" w:hAnsi="Times New Roman" w:cs="Times New Roman"/>
          <w:sz w:val="22"/>
          <w:szCs w:val="22"/>
          <w:lang w:eastAsia="en-US"/>
        </w:rPr>
        <w:t>- lista materialelor folosite / locaţie,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b/>
      </w:r>
      <w:r>
        <w:rPr>
          <w:rFonts w:hint="default" w:ascii="Times New Roman" w:hAnsi="Times New Roman" w:cs="Times New Roman"/>
          <w:sz w:val="22"/>
          <w:szCs w:val="22"/>
          <w:lang w:eastAsia="en-US"/>
        </w:rPr>
        <w:t>- data remedierii (diagnosticării) / locaţie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Operatorul va ţine o evidenţă, separat de registrul de reclamaţii, a predărilor de amplasament, a comenzilor de soluţii tehnice şi a notificaţiilor pe care autoritatea locală le transmite spre execuţie.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Recepția serviciilor se va efectua de către responsabilul de contract din partea UAT și reprezentanți desemnați de executant din cadrul personalului angajat.</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Reprezentantii vor analiza cantitatea și calitatea produselor, constatările fiind consemnate într-un proces-verbal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Se vor menționa cel puțin urmatoarele: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-Verificări cantitative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se vor verifica rapoartele privind serviciile prestate, locațiile, perioada de execuție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-Verificări calitative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Se vor verifica documentele doveditoare privind materialele și echipamentele utilizate pentru prestarea serviciilor urmărind corespondența cu prevederile din caietul de sarcini și specificațiilor tehnice</w:t>
      </w:r>
    </w:p>
    <w:p>
      <w:pPr>
        <w:widowControl/>
        <w:wordWrap/>
        <w:adjustRightInd/>
        <w:snapToGrid/>
        <w:spacing w:before="0" w:after="0" w:line="240" w:lineRule="auto"/>
        <w:ind w:left="0" w:leftChars="0" w:right="0" w:firstLine="0" w:firstLineChars="0"/>
        <w:jc w:val="both"/>
        <w:textAlignment w:val="auto"/>
        <w:outlineLvl w:val="9"/>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Se va verifica daca timpul de interventie de remedierea a avariilor este cel pe care </w:t>
      </w:r>
      <w:r>
        <w:rPr>
          <w:rFonts w:hint="default" w:cs="Times New Roman"/>
          <w:sz w:val="22"/>
          <w:szCs w:val="22"/>
          <w:lang w:eastAsia="en-US"/>
        </w:rPr>
        <w:t>Comuna Zatreni</w:t>
      </w:r>
      <w:r>
        <w:rPr>
          <w:rFonts w:hint="default" w:ascii="Times New Roman" w:hAnsi="Times New Roman" w:cs="Times New Roman"/>
          <w:sz w:val="22"/>
          <w:szCs w:val="22"/>
          <w:lang w:eastAsia="en-US"/>
        </w:rPr>
        <w:t xml:space="preserve"> l-a stabilit prin indicatorii de performanta a serviciului/daca s-au efectuat serviciile de revizii programate sau cel pe care Ofertantul il precizeaza în oferta.</w:t>
      </w:r>
    </w:p>
    <w:p>
      <w:pPr>
        <w:widowControl/>
        <w:wordWrap/>
        <w:adjustRightInd/>
        <w:snapToGrid/>
        <w:spacing w:before="0" w:after="0" w:line="240" w:lineRule="auto"/>
        <w:ind w:left="0" w:leftChars="0" w:right="0" w:firstLine="0" w:firstLineChars="0"/>
        <w:jc w:val="both"/>
        <w:textAlignment w:val="auto"/>
        <w:outlineLvl w:val="9"/>
        <w:rPr>
          <w:rFonts w:hint="default" w:ascii="Times New Roman" w:hAnsi="Times New Roman" w:cs="Times New Roman"/>
          <w:sz w:val="22"/>
          <w:szCs w:val="22"/>
          <w:lang w:eastAsia="en-US"/>
        </w:rPr>
      </w:pP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d) mecanismele de plată în cadrul contractului, alocarea riscurilor în cadrul acestuia, măsuri de gestionare a acestora, stabilirea penalităţilor pentru neîndeplinirea sau îndeplinirea defectuoasă a obligaţiilor contractuale;</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Mecanismele de plată în cadrul contractului</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Autoritatea contractantă nu acordă avans. Cuantumul garanţiei de bună execuţie este de </w:t>
      </w:r>
      <w:r>
        <w:rPr>
          <w:rFonts w:hint="default" w:cs="Times New Roman"/>
          <w:sz w:val="22"/>
          <w:szCs w:val="22"/>
          <w:lang w:eastAsia="en-US"/>
        </w:rPr>
        <w:t>2</w:t>
      </w:r>
      <w:r>
        <w:rPr>
          <w:rFonts w:hint="default" w:ascii="Times New Roman" w:hAnsi="Times New Roman" w:cs="Times New Roman"/>
          <w:sz w:val="22"/>
          <w:szCs w:val="22"/>
          <w:lang w:eastAsia="en-US"/>
        </w:rPr>
        <w:t xml:space="preserve">% din valoarea fără TVA a contractului încheiat. Garanţia de bună execuţie se constituie printr-un instrument de garantare emis în conditiile legii de o societate bancară sau de o societate de asigurări in conditiile art. 39 si art. 40 din H.G. nr. 395/2016 sau prin reţineri succesive din sumele datorate pentru facturile parţiale, în condiţiile prevăzute la art. 40 alin. (3) din H.G. nr. 395/2016.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Ofertantul declarat câştigător are obligatia de a constitui garantia de buna executie a contractului în condiţiile de mai sus cel mai tarziu în termen de 5 zile de la data semnării contractului. Autoritatea contractanta va elibera/ restitui garantia de buna execuţie conform prevederilor art. 42 din H.G. nr. 395/2016.</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reîntregii garanția în cauză raportat la restul rămas de executat.</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 xml:space="preserve"> Serviciile de întreținere-menținere a sistemului de iluminat public se vor achita pe baza tarifelor unitare prevăzute în Oferta Financiară. Prețurile operațiunilor de întreținere-menținere nu includ TVA.(anexa A)</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 xml:space="preserve">Cantitățile de servicii necesare se vor stabili în funcție de necesitățile sistemului de iluminat și de planul de mentenanță, în fiecare an, la începutul anului, pe baza programelor de lucrări/servicii de mentenanță </w:t>
      </w:r>
      <w:r>
        <w:rPr>
          <w:rFonts w:hint="default" w:cs="Times New Roman"/>
          <w:bCs/>
          <w:sz w:val="22"/>
          <w:szCs w:val="22"/>
          <w:lang w:eastAsia="en-US"/>
        </w:rPr>
        <w:t xml:space="preserve">a sistemului de iluminat public </w:t>
      </w:r>
      <w:r>
        <w:rPr>
          <w:rFonts w:hint="default" w:ascii="Times New Roman" w:hAnsi="Times New Roman" w:cs="Times New Roman"/>
          <w:bCs/>
          <w:sz w:val="22"/>
          <w:szCs w:val="22"/>
          <w:lang w:eastAsia="en-US"/>
        </w:rPr>
        <w:t>elaborate de către Contractant, în care va prezenta autorității contractante necesitățile pe care le constata.</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Pe perioada derulării Contractului nici autoritatea contractanta și nici contractantul nu vor fi constrânși de respectarea cantităților estimate prevăzute în caietul de sarcini și oferta financiara (acestea putând fi mai mici sau mai mari pentru fiecare tip de operațiune).</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Se vor lua în considerare doar tarifele unitare stabilite în oferta financiara și ajustările/modificările de tarife, în conformitate cu legislația aplicabila.</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Diferențele între cantitățile estimate inițial pe fiecare tip de operațiune și cantitățile real executate nu vor reprezenta o modificare a contractului si nu vor necesita încheierea unor acte adiționale.</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În cazul în care vor exista diferențe între cantitățile estimate inițial pe fiecare tip de operațiune și cantitățile real executate, care generează depășirea valorii Contractului, valoarea totală a acestora nu va putea depăși procentul de 10% din valoarea inițială a Contractului, pentru care Părțile vor încheia un act aditional.</w:t>
      </w:r>
    </w:p>
    <w:p>
      <w:pPr>
        <w:spacing w:after="160" w:line="276" w:lineRule="auto"/>
        <w:jc w:val="both"/>
        <w:rPr>
          <w:rFonts w:hint="default" w:ascii="Times New Roman" w:hAnsi="Times New Roman" w:cs="Times New Roman"/>
          <w:bCs/>
          <w:sz w:val="22"/>
          <w:szCs w:val="22"/>
          <w:lang w:eastAsia="en-US"/>
        </w:rPr>
      </w:pPr>
      <w:r>
        <w:rPr>
          <w:rFonts w:hint="default" w:ascii="Times New Roman" w:hAnsi="Times New Roman" w:cs="Times New Roman"/>
          <w:bCs/>
          <w:sz w:val="22"/>
          <w:szCs w:val="22"/>
          <w:lang w:eastAsia="en-US"/>
        </w:rPr>
        <w:t>Autoritatea contractantă va plăti lunar contravaloarea facturilor emise, în termen de cel mult 30 zile de la data primirii acestora.</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 xml:space="preserve">Factura pentru serviciile/lucrările prestate se emite doar după aprobarea de către autoritatea contractantă în baza Raportului lunar detaliat al activităților și semnarea procesului verbal de recepție. </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e) justificările privind determinarea valorii estimate a contractului/acordului-cadru, precum şi orice alte elemente legate de obţinerea de beneficii pentru autoritatea contractantă şi/sau îndeplinirea obiectivelor comunicate la nivelul sectorului administraţiei publice în care activează autoritatea contractantă;</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Determinarea şi justificarea valorii estimate: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Pentru determinarea valorii estimate, s-au avut in vedere prevederile art. 9 din Legea nr. 98/2016 privind achizitiile publice si prevederile art. 16 alin.(1) din  Hotararea nr. 395/2016 pentru aprobarea Normelor metodologice de aplicare a prevederilor referitoare la atribuirea contractului de achiziție publică/acordului-cadru din Legea nr. 98/2016.</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Valoarea contractului a fost estimata in baza listelor de cantitati realizate in urma inventarului retelelor de iluminat public si in conformitate cu prevederile din Regulamentul serviciului de iluminat public din </w:t>
      </w:r>
      <w:r>
        <w:rPr>
          <w:rFonts w:hint="default" w:cs="Times New Roman"/>
          <w:sz w:val="22"/>
          <w:szCs w:val="22"/>
          <w:lang w:eastAsia="en-US"/>
        </w:rPr>
        <w:t>Comuna ZATRENI</w:t>
      </w:r>
      <w:r>
        <w:rPr>
          <w:rFonts w:hint="default" w:ascii="Times New Roman" w:hAnsi="Times New Roman" w:cs="Times New Roman"/>
          <w:sz w:val="22"/>
          <w:szCs w:val="22"/>
          <w:lang w:eastAsia="en-US"/>
        </w:rPr>
        <w:t xml:space="preserve">  privind operatiile de exploatare ale sistemului de iluminat public. regulament aprobat prin </w:t>
      </w:r>
      <w:r>
        <w:rPr>
          <w:rFonts w:hint="default" w:ascii="Times New Roman" w:hAnsi="Times New Roman" w:cs="Times New Roman"/>
          <w:sz w:val="22"/>
          <w:szCs w:val="22"/>
          <w:highlight w:val="yellow"/>
          <w:lang w:eastAsia="en-US"/>
        </w:rPr>
        <w:t>HCL nr. ......................</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Valoarea estimata a contractului </w:t>
      </w:r>
      <w:r>
        <w:rPr>
          <w:rFonts w:hint="default" w:cs="Times New Roman"/>
          <w:sz w:val="22"/>
          <w:szCs w:val="22"/>
          <w:lang w:eastAsia="en-US"/>
        </w:rPr>
        <w:t xml:space="preserve">a carui durata este de </w:t>
      </w:r>
      <w:r>
        <w:rPr>
          <w:rFonts w:hint="default" w:cs="Times New Roman"/>
          <w:sz w:val="22"/>
          <w:szCs w:val="22"/>
          <w:lang w:eastAsia="en-US"/>
        </w:rPr>
        <w:t xml:space="preserve">5 </w:t>
      </w:r>
      <w:r>
        <w:rPr>
          <w:rFonts w:hint="default" w:cs="Times New Roman"/>
          <w:sz w:val="22"/>
          <w:szCs w:val="22"/>
          <w:lang w:eastAsia="en-US"/>
        </w:rPr>
        <w:t xml:space="preserve">ani </w:t>
      </w:r>
      <w:r>
        <w:rPr>
          <w:rFonts w:hint="default" w:ascii="Times New Roman" w:hAnsi="Times New Roman" w:cs="Times New Roman"/>
          <w:sz w:val="22"/>
          <w:szCs w:val="22"/>
          <w:lang w:eastAsia="en-US"/>
        </w:rPr>
        <w:t xml:space="preserve">a fost aprobata prin </w:t>
      </w:r>
      <w:r>
        <w:rPr>
          <w:rFonts w:hint="default" w:ascii="Times New Roman" w:hAnsi="Times New Roman" w:cs="Times New Roman"/>
          <w:sz w:val="22"/>
          <w:szCs w:val="22"/>
          <w:highlight w:val="yellow"/>
          <w:lang w:eastAsia="en-US"/>
        </w:rPr>
        <w:t>HCL nr. ............</w:t>
      </w:r>
      <w:r>
        <w:rPr>
          <w:rFonts w:hint="default" w:ascii="Times New Roman" w:hAnsi="Times New Roman" w:cs="Times New Roman"/>
          <w:sz w:val="22"/>
          <w:szCs w:val="22"/>
          <w:lang w:eastAsia="en-US"/>
        </w:rPr>
        <w:t xml:space="preserve"> este </w:t>
      </w:r>
      <w:r>
        <w:rPr>
          <w:rFonts w:hint="default" w:cs="Times New Roman"/>
          <w:sz w:val="22"/>
          <w:szCs w:val="22"/>
          <w:lang w:eastAsia="en-US"/>
        </w:rPr>
        <w:t>:</w:t>
      </w:r>
    </w:p>
    <w:p>
      <w:pPr>
        <w:autoSpaceDE w:val="0"/>
        <w:autoSpaceDN w:val="0"/>
        <w:adjustRightInd w:val="0"/>
        <w:rPr>
          <w:rFonts w:hint="default" w:ascii="Times New Roman" w:hAnsi="Times New Roman" w:cs="Times New Roman"/>
          <w:sz w:val="22"/>
          <w:szCs w:val="22"/>
        </w:rPr>
      </w:pPr>
    </w:p>
    <w:tbl>
      <w:tblPr>
        <w:tblW w:w="954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5670"/>
        <w:gridCol w:w="2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13" w:hRule="atLeast"/>
        </w:trPr>
        <w:tc>
          <w:tcPr>
            <w:tcW w:w="876" w:type="dxa"/>
            <w:vAlign w:val="top"/>
          </w:tcPr>
          <w:p>
            <w:pPr>
              <w:autoSpaceDE w:val="0"/>
              <w:autoSpaceDN w:val="0"/>
              <w:spacing w:before="29"/>
              <w:ind w:right="400"/>
              <w:rPr>
                <w:rFonts w:hint="default" w:ascii="Times New Roman" w:hAnsi="Times New Roman" w:eastAsia="Arial MT" w:cs="Times New Roman"/>
                <w:b/>
                <w:kern w:val="0"/>
                <w:sz w:val="22"/>
                <w:szCs w:val="22"/>
                <w:lang w:eastAsia="en-US"/>
              </w:rPr>
            </w:pPr>
            <w:r>
              <w:rPr>
                <w:rFonts w:hint="default" w:ascii="Times New Roman" w:hAnsi="Times New Roman" w:eastAsia="Arial MT" w:cs="Times New Roman"/>
                <w:b/>
                <w:kern w:val="0"/>
                <w:sz w:val="22"/>
                <w:szCs w:val="22"/>
                <w:lang w:eastAsia="en-US"/>
              </w:rPr>
              <w:t>Nr. crt.</w:t>
            </w:r>
          </w:p>
        </w:tc>
        <w:tc>
          <w:tcPr>
            <w:tcW w:w="5670" w:type="dxa"/>
            <w:vAlign w:val="top"/>
          </w:tcPr>
          <w:p>
            <w:pPr>
              <w:autoSpaceDE w:val="0"/>
              <w:autoSpaceDN w:val="0"/>
              <w:spacing w:before="29"/>
              <w:ind w:left="794"/>
              <w:jc w:val="left"/>
              <w:rPr>
                <w:rFonts w:hint="default" w:ascii="Times New Roman" w:hAnsi="Times New Roman" w:eastAsia="Arial MT" w:cs="Times New Roman"/>
                <w:b/>
                <w:kern w:val="0"/>
                <w:sz w:val="22"/>
                <w:szCs w:val="22"/>
                <w:lang w:eastAsia="en-US"/>
              </w:rPr>
            </w:pPr>
            <w:r>
              <w:rPr>
                <w:rFonts w:hint="default" w:ascii="Times New Roman" w:hAnsi="Times New Roman" w:eastAsia="Arial MT" w:cs="Times New Roman"/>
                <w:b/>
                <w:kern w:val="0"/>
                <w:sz w:val="22"/>
                <w:szCs w:val="22"/>
                <w:lang w:eastAsia="en-US"/>
              </w:rPr>
              <w:t>Cheltuieli</w:t>
            </w:r>
            <w:r>
              <w:rPr>
                <w:rFonts w:hint="default" w:ascii="Times New Roman" w:hAnsi="Times New Roman" w:eastAsia="Arial MT" w:cs="Times New Roman"/>
                <w:b/>
                <w:spacing w:val="-3"/>
                <w:kern w:val="0"/>
                <w:sz w:val="22"/>
                <w:szCs w:val="22"/>
                <w:lang w:eastAsia="en-US"/>
              </w:rPr>
              <w:t xml:space="preserve"> </w:t>
            </w:r>
            <w:r>
              <w:rPr>
                <w:rFonts w:hint="default" w:ascii="Times New Roman" w:hAnsi="Times New Roman" w:eastAsia="Arial MT" w:cs="Times New Roman"/>
                <w:b/>
                <w:kern w:val="0"/>
                <w:sz w:val="22"/>
                <w:szCs w:val="22"/>
                <w:lang w:eastAsia="en-US"/>
              </w:rPr>
              <w:t>pe</w:t>
            </w:r>
            <w:r>
              <w:rPr>
                <w:rFonts w:hint="default" w:ascii="Times New Roman" w:hAnsi="Times New Roman" w:eastAsia="Arial MT" w:cs="Times New Roman"/>
                <w:b/>
                <w:spacing w:val="-4"/>
                <w:kern w:val="0"/>
                <w:sz w:val="22"/>
                <w:szCs w:val="22"/>
                <w:lang w:eastAsia="en-US"/>
              </w:rPr>
              <w:t xml:space="preserve"> </w:t>
            </w:r>
            <w:r>
              <w:rPr>
                <w:rFonts w:hint="default" w:ascii="Times New Roman" w:hAnsi="Times New Roman" w:eastAsia="Arial MT" w:cs="Times New Roman"/>
                <w:b/>
                <w:kern w:val="0"/>
                <w:sz w:val="22"/>
                <w:szCs w:val="22"/>
                <w:lang w:eastAsia="en-US"/>
              </w:rPr>
              <w:t>categoria</w:t>
            </w:r>
            <w:r>
              <w:rPr>
                <w:rFonts w:hint="default" w:ascii="Times New Roman" w:hAnsi="Times New Roman" w:eastAsia="Arial MT" w:cs="Times New Roman"/>
                <w:b/>
                <w:spacing w:val="-3"/>
                <w:kern w:val="0"/>
                <w:sz w:val="22"/>
                <w:szCs w:val="22"/>
                <w:lang w:eastAsia="en-US"/>
              </w:rPr>
              <w:t xml:space="preserve"> </w:t>
            </w:r>
            <w:r>
              <w:rPr>
                <w:rFonts w:hint="default" w:ascii="Times New Roman" w:hAnsi="Times New Roman" w:eastAsia="Arial MT" w:cs="Times New Roman"/>
                <w:b/>
                <w:kern w:val="0"/>
                <w:sz w:val="22"/>
                <w:szCs w:val="22"/>
                <w:lang w:eastAsia="en-US"/>
              </w:rPr>
              <w:t>de</w:t>
            </w:r>
            <w:r>
              <w:rPr>
                <w:rFonts w:hint="default" w:ascii="Times New Roman" w:hAnsi="Times New Roman" w:eastAsia="Arial MT" w:cs="Times New Roman"/>
                <w:b/>
                <w:spacing w:val="-2"/>
                <w:kern w:val="0"/>
                <w:sz w:val="22"/>
                <w:szCs w:val="22"/>
                <w:lang w:eastAsia="en-US"/>
              </w:rPr>
              <w:t xml:space="preserve"> </w:t>
            </w:r>
            <w:r>
              <w:rPr>
                <w:rFonts w:hint="default" w:ascii="Times New Roman" w:hAnsi="Times New Roman" w:eastAsia="Arial MT" w:cs="Times New Roman"/>
                <w:b/>
                <w:kern w:val="0"/>
                <w:sz w:val="22"/>
                <w:szCs w:val="22"/>
                <w:lang w:eastAsia="en-US"/>
              </w:rPr>
              <w:t>lucrări</w:t>
            </w:r>
          </w:p>
        </w:tc>
        <w:tc>
          <w:tcPr>
            <w:tcW w:w="2998" w:type="dxa"/>
            <w:vAlign w:val="top"/>
          </w:tcPr>
          <w:p>
            <w:pPr>
              <w:autoSpaceDE w:val="0"/>
              <w:autoSpaceDN w:val="0"/>
              <w:spacing w:before="29"/>
              <w:ind w:left="692" w:right="675"/>
              <w:jc w:val="center"/>
              <w:rPr>
                <w:rFonts w:hint="default" w:ascii="Times New Roman" w:hAnsi="Times New Roman" w:eastAsia="Arial MT" w:cs="Times New Roman"/>
                <w:b/>
                <w:kern w:val="0"/>
                <w:sz w:val="22"/>
                <w:szCs w:val="22"/>
                <w:lang w:eastAsia="en-US"/>
              </w:rPr>
            </w:pPr>
            <w:r>
              <w:rPr>
                <w:rFonts w:hint="default" w:ascii="Times New Roman" w:hAnsi="Times New Roman" w:eastAsia="Arial MT" w:cs="Times New Roman"/>
                <w:b/>
                <w:spacing w:val="-1"/>
                <w:kern w:val="0"/>
                <w:sz w:val="22"/>
                <w:szCs w:val="22"/>
                <w:lang w:eastAsia="en-US"/>
              </w:rPr>
              <w:t>Valoare</w:t>
            </w:r>
            <w:r>
              <w:rPr>
                <w:rFonts w:hint="default" w:ascii="Times New Roman" w:hAnsi="Times New Roman" w:eastAsia="Arial MT" w:cs="Times New Roman"/>
                <w:b/>
                <w:spacing w:val="-6"/>
                <w:kern w:val="0"/>
                <w:sz w:val="22"/>
                <w:szCs w:val="22"/>
                <w:lang w:eastAsia="en-US"/>
              </w:rPr>
              <w:t xml:space="preserve"> </w:t>
            </w:r>
            <w:r>
              <w:rPr>
                <w:rFonts w:hint="default" w:ascii="Times New Roman" w:hAnsi="Times New Roman" w:eastAsia="Arial MT" w:cs="Times New Roman"/>
                <w:b/>
                <w:spacing w:val="-1"/>
                <w:kern w:val="0"/>
                <w:sz w:val="22"/>
                <w:szCs w:val="22"/>
                <w:lang w:eastAsia="en-US"/>
              </w:rPr>
              <w:t>exclusiv</w:t>
            </w:r>
            <w:r>
              <w:rPr>
                <w:rFonts w:hint="default" w:ascii="Times New Roman" w:hAnsi="Times New Roman" w:eastAsia="Arial MT" w:cs="Times New Roman"/>
                <w:b/>
                <w:spacing w:val="-5"/>
                <w:kern w:val="0"/>
                <w:sz w:val="22"/>
                <w:szCs w:val="22"/>
                <w:lang w:eastAsia="en-US"/>
              </w:rPr>
              <w:t xml:space="preserve"> </w:t>
            </w:r>
            <w:r>
              <w:rPr>
                <w:rFonts w:hint="default" w:ascii="Times New Roman" w:hAnsi="Times New Roman" w:eastAsia="Arial MT" w:cs="Times New Roman"/>
                <w:b/>
                <w:kern w:val="0"/>
                <w:sz w:val="22"/>
                <w:szCs w:val="22"/>
                <w:lang w:eastAsia="en-US"/>
              </w:rPr>
              <w:t>TVA</w:t>
            </w:r>
            <w:r>
              <w:rPr>
                <w:rFonts w:hint="default" w:ascii="Times New Roman" w:hAnsi="Times New Roman" w:eastAsia="Arial MT" w:cs="Times New Roman"/>
                <w:b/>
                <w:spacing w:val="-15"/>
                <w:kern w:val="0"/>
                <w:sz w:val="22"/>
                <w:szCs w:val="22"/>
                <w:lang w:eastAsia="en-US"/>
              </w:rPr>
              <w:t xml:space="preserve"> </w:t>
            </w:r>
            <w:r>
              <w:rPr>
                <w:rFonts w:hint="default" w:ascii="Times New Roman" w:hAnsi="Times New Roman" w:eastAsia="Arial MT" w:cs="Times New Roman"/>
                <w:b/>
                <w:kern w:val="0"/>
                <w:sz w:val="22"/>
                <w:szCs w:val="22"/>
                <w:lang w:eastAsia="en-US"/>
              </w:rPr>
              <w:t>(lei)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876" w:type="dxa"/>
            <w:vAlign w:val="top"/>
          </w:tcPr>
          <w:p>
            <w:pPr>
              <w:autoSpaceDE w:val="0"/>
              <w:autoSpaceDN w:val="0"/>
              <w:spacing w:before="29"/>
              <w:ind w:left="108"/>
              <w:jc w:val="center"/>
              <w:rPr>
                <w:rFonts w:hint="default" w:ascii="Times New Roman" w:hAnsi="Times New Roman" w:eastAsia="Arial MT" w:cs="Times New Roman"/>
                <w:b/>
                <w:kern w:val="0"/>
                <w:sz w:val="22"/>
                <w:szCs w:val="22"/>
                <w:lang w:eastAsia="en-US"/>
              </w:rPr>
            </w:pPr>
            <w:r>
              <w:rPr>
                <w:rFonts w:hint="default" w:ascii="Times New Roman" w:hAnsi="Times New Roman" w:eastAsia="Arial MT" w:cs="Times New Roman"/>
                <w:b/>
                <w:kern w:val="0"/>
                <w:sz w:val="22"/>
                <w:szCs w:val="22"/>
                <w:lang w:eastAsia="en-US"/>
              </w:rPr>
              <w:t>I.</w:t>
            </w:r>
          </w:p>
        </w:tc>
        <w:tc>
          <w:tcPr>
            <w:tcW w:w="5670" w:type="dxa"/>
            <w:vAlign w:val="top"/>
          </w:tcPr>
          <w:p>
            <w:pPr>
              <w:widowControl/>
              <w:jc w:val="left"/>
              <w:rPr>
                <w:rFonts w:hint="default" w:ascii="Times New Roman" w:hAnsi="Times New Roman" w:cs="Times New Roman"/>
                <w:kern w:val="0"/>
                <w:sz w:val="22"/>
                <w:szCs w:val="22"/>
                <w:lang w:eastAsia="en-US"/>
              </w:rPr>
            </w:pPr>
            <w:r>
              <w:rPr>
                <w:rFonts w:hint="default" w:ascii="Times New Roman" w:hAnsi="Times New Roman" w:cs="Times New Roman"/>
                <w:sz w:val="22"/>
                <w:szCs w:val="22"/>
              </w:rPr>
              <w:t>Servicii pentru intretinre sistem de iluminat public</w:t>
            </w:r>
          </w:p>
          <w:p>
            <w:pPr>
              <w:autoSpaceDE w:val="0"/>
              <w:autoSpaceDN w:val="0"/>
              <w:spacing w:before="29"/>
              <w:jc w:val="left"/>
              <w:rPr>
                <w:rFonts w:hint="default" w:ascii="Times New Roman" w:hAnsi="Times New Roman" w:eastAsia="Arial MT" w:cs="Times New Roman"/>
                <w:kern w:val="0"/>
                <w:sz w:val="22"/>
                <w:szCs w:val="22"/>
                <w:lang w:eastAsia="en-US"/>
              </w:rPr>
            </w:pPr>
          </w:p>
        </w:tc>
        <w:tc>
          <w:tcPr>
            <w:tcW w:w="2998" w:type="dxa"/>
            <w:vAlign w:val="top"/>
          </w:tcPr>
          <w:p>
            <w:pPr>
              <w:autoSpaceDE w:val="0"/>
              <w:autoSpaceDN w:val="0"/>
              <w:jc w:val="center"/>
              <w:rPr>
                <w:rFonts w:hint="default" w:ascii="Times New Roman" w:hAnsi="Times New Roman" w:eastAsia="Arial MT" w:cs="Times New Roman"/>
                <w:kern w:val="0"/>
                <w:sz w:val="22"/>
                <w:szCs w:val="22"/>
                <w:lang w:eastAsia="en-US"/>
              </w:rPr>
            </w:pPr>
            <w:r>
              <w:rPr>
                <w:rFonts w:hint="default" w:eastAsia="Arial MT" w:cs="Times New Roman"/>
                <w:kern w:val="0"/>
                <w:sz w:val="22"/>
                <w:szCs w:val="22"/>
                <w:lang w:eastAsia="en-US"/>
              </w:rPr>
              <w:t>268730,45</w:t>
            </w:r>
          </w:p>
        </w:tc>
      </w:tr>
    </w:tbl>
    <w:p>
      <w:pPr>
        <w:spacing w:after="160" w:line="276" w:lineRule="auto"/>
        <w:jc w:val="both"/>
        <w:rPr>
          <w:rFonts w:hint="default" w:ascii="Times New Roman" w:hAnsi="Times New Roman" w:cs="Times New Roman"/>
          <w:sz w:val="22"/>
          <w:szCs w:val="22"/>
          <w:lang w:eastAsia="en-US"/>
        </w:rPr>
      </w:pP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f) justificările privind alegerea procedurii de atribuire în situaţiile prevăzute la art. 69 alin. (2) - (5) din Lege şi, după caz, decizia de a reduce termenele în condiţiile legii, decizia de a nu utiliza împărţirea pe loturi, criteriile de calificare privind capacitatea şi, după caz, criteriile de selecţie, criteriul de atribuire şi factorii de evaluare utilizaţi;</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Alegerea procedurii de atribuire:</w:t>
      </w:r>
      <w:bookmarkStart w:id="0" w:name="_GoBack"/>
      <w:bookmarkEnd w:id="0"/>
    </w:p>
    <w:p>
      <w:pPr>
        <w:spacing w:after="160" w:line="276" w:lineRule="auto"/>
        <w:jc w:val="both"/>
        <w:rPr>
          <w:rFonts w:hint="default" w:ascii="Times New Roman" w:hAnsi="Times New Roman" w:cs="Times New Roman"/>
          <w:color w:val="FF0000"/>
          <w:sz w:val="22"/>
          <w:szCs w:val="22"/>
          <w:lang w:eastAsia="en-US"/>
        </w:rPr>
      </w:pPr>
      <w:r>
        <w:rPr>
          <w:rFonts w:hint="default" w:ascii="Times New Roman" w:hAnsi="Times New Roman" w:cs="Times New Roman"/>
          <w:sz w:val="22"/>
          <w:szCs w:val="22"/>
          <w:lang w:eastAsia="en-US"/>
        </w:rPr>
        <w:t xml:space="preserve">Din punct de vedere al valorii estimate a contractului se observă că aceasta este mai </w:t>
      </w:r>
      <w:r>
        <w:rPr>
          <w:rFonts w:hint="default" w:cs="Times New Roman"/>
          <w:sz w:val="22"/>
          <w:szCs w:val="22"/>
          <w:lang w:eastAsia="en-US"/>
        </w:rPr>
        <w:t xml:space="preserve">mic </w:t>
      </w:r>
      <w:r>
        <w:rPr>
          <w:rFonts w:hint="default" w:ascii="Times New Roman" w:hAnsi="Times New Roman" w:cs="Times New Roman"/>
          <w:sz w:val="22"/>
          <w:szCs w:val="22"/>
          <w:lang w:eastAsia="en-US"/>
        </w:rPr>
        <w:t xml:space="preserve"> decât pragul prevăzut de legiutor la art. 7 alin. (</w:t>
      </w:r>
      <w:r>
        <w:rPr>
          <w:rFonts w:hint="default" w:cs="Times New Roman"/>
          <w:sz w:val="22"/>
          <w:szCs w:val="22"/>
          <w:lang w:eastAsia="en-US"/>
        </w:rPr>
        <w:t>5</w:t>
      </w:r>
      <w:r>
        <w:rPr>
          <w:rFonts w:hint="default" w:ascii="Times New Roman" w:hAnsi="Times New Roman" w:cs="Times New Roman"/>
          <w:sz w:val="22"/>
          <w:szCs w:val="22"/>
          <w:lang w:eastAsia="en-US"/>
        </w:rPr>
        <w:t>) lit. a), respectiv valoarea</w:t>
      </w:r>
      <w:r>
        <w:rPr>
          <w:rFonts w:hint="default" w:cs="Times New Roman"/>
          <w:sz w:val="22"/>
          <w:szCs w:val="22"/>
          <w:lang w:eastAsia="en-US"/>
        </w:rPr>
        <w:t xml:space="preserve"> fara TVA s</w:t>
      </w:r>
      <w:r>
        <w:rPr>
          <w:rFonts w:hint="default" w:ascii="Times New Roman" w:hAnsi="Times New Roman" w:cs="Times New Roman"/>
          <w:sz w:val="22"/>
          <w:szCs w:val="22"/>
          <w:lang w:eastAsia="en-US"/>
        </w:rPr>
        <w:t xml:space="preserve"> serviciilor care urmează să fie contractate este mai </w:t>
      </w:r>
      <w:r>
        <w:rPr>
          <w:rFonts w:hint="default" w:cs="Times New Roman"/>
          <w:sz w:val="22"/>
          <w:szCs w:val="22"/>
          <w:lang w:eastAsia="en-US"/>
        </w:rPr>
        <w:t>mica</w:t>
      </w:r>
      <w:r>
        <w:rPr>
          <w:rFonts w:hint="default" w:ascii="Times New Roman" w:hAnsi="Times New Roman" w:cs="Times New Roman"/>
          <w:sz w:val="22"/>
          <w:szCs w:val="22"/>
          <w:lang w:eastAsia="en-US"/>
        </w:rPr>
        <w:t xml:space="preserve"> decât </w:t>
      </w:r>
      <w:r>
        <w:rPr>
          <w:rFonts w:hint="default" w:cs="Times New Roman"/>
          <w:sz w:val="22"/>
          <w:szCs w:val="22"/>
          <w:lang w:eastAsia="en-US"/>
        </w:rPr>
        <w:t>270 120</w:t>
      </w:r>
      <w:r>
        <w:rPr>
          <w:rFonts w:hint="default" w:ascii="Times New Roman" w:hAnsi="Times New Roman" w:cs="Times New Roman"/>
          <w:sz w:val="22"/>
          <w:szCs w:val="22"/>
          <w:lang w:eastAsia="en-US"/>
        </w:rPr>
        <w:t xml:space="preserve"> lei, iar din acest punct de vedere, în conformitate cu prevederile art. 7, alin. (2), procedura de atribuire a contractului în discuție care a fost aleasă de către autoritatea contractantă este </w:t>
      </w:r>
      <w:r>
        <w:rPr>
          <w:rFonts w:hint="default" w:cs="Times New Roman"/>
          <w:color w:val="FF0000"/>
          <w:sz w:val="22"/>
          <w:szCs w:val="22"/>
          <w:lang w:eastAsia="en-US"/>
        </w:rPr>
        <w:t xml:space="preserve">achizitia directa, prin </w:t>
      </w:r>
      <w:r>
        <w:rPr>
          <w:rFonts w:hint="default" w:ascii="Times New Roman" w:hAnsi="Times New Roman" w:cs="Times New Roman"/>
          <w:color w:val="FF0000"/>
          <w:sz w:val="22"/>
          <w:szCs w:val="22"/>
          <w:lang w:eastAsia="en-US"/>
        </w:rPr>
        <w:t xml:space="preserve"> </w:t>
      </w:r>
      <w:r>
        <w:rPr>
          <w:rFonts w:hint="default" w:cs="Times New Roman"/>
          <w:color w:val="FF0000"/>
          <w:sz w:val="22"/>
          <w:szCs w:val="22"/>
          <w:lang w:eastAsia="en-US"/>
        </w:rPr>
        <w:t>consultarea a 3 operatori economici.</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Justificarea stabilirii de către autoritatea contractantă a cerinţelor de calificare:</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Potrivit art. 113 alin. (11) din Legea nr. 98/2016, dacă autoritatea contractantă decide să solicite criterii de calificare şi selecţie, aceasta poate solicita doar cerinţe privind:</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 motive de excludere, în conformitate cu capitolul IV, secţiunea a 6-a, paragraful 2;</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b) capacitatea de exercitare a activităţii profesionale, în conformitate cu art. 173;</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c) experienţa similară, în conformitate cu art. 179 lit. a) şi b).</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a) motive de excludere, în conformitate cu capitolul IV, secţiunea a 6-a, paragraful 2;</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1. Ofertanţii, terţii susţinători şi subcontractanţii nu trebuie să se regăsească în situaţiile prevăzuta la art. 164, 165 şi 167 din Legea nr. 98/2016. Modalitatea prin care poate fi demonstrată îndeplinirea cerinţei: Se va completa DUAE de către operatorii economici participanţi la procedura de atribuire (inclusiv pentru asociați/subcontractanți/terți susținători) cu informaţiile aferente situaţiei lor, ca prima dovadă a neîncadrării în situațiile de excludere și a îndeplinirii cerințelor de capacitate. Dacă este cazul, odată cu depunerea DUAE se prezintă angajamentul ferm al terțului susținător din care rezultă modul efectiv în care se va materializa susținerea acestuia, şi după caz , acordul de subcontractare și/sau a acordul de asociere. Documentele justificative care probează îndeplinirea celor asumate prin completarea DUAE, urmează a fi prezentate, la solicitarea autorităţii contractante, doar de către ofertantul clasat pe locul I în clasamentul intermediar întocmit la finalizarea evaluării ofertelor. În sensul celor de mai sus, operatorul economic situat pe primul loc, la solicitarea autorităţii contractante va prezenta : - certificate constatatoare privind lipsa datoriilor restante cu privire la plata impozitelor, taxelor sau a contribuțiilor la bugetul general consolidat (buget local, buget de stat etc.) la momentul prezentării; -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 după caz, documente prin care se demonstrează faptul ca operatorul economic poate beneficia de derogările prevăzute la art. 166 alin. (2), art. 167 alin. (2), art. 171 din Legea 98/2016 privind achizițiile publice; - După caz, documente prin care se demonstrează că operatorul economic se află în situatia prevăzută la art. 166 alin (2) din Legea 98/2016, respectiv : cuantumul impozitelor, taxelor şi contribuţiilor la bugetul general consolidat datorate şi restante, este mai mic de 10.000 lei. - După caz, documente prin care se demonstrează că operatorul economic poate beneficia de derogările prevăzute în art. 167 alin (2) şi art. 171 din Legea nr. 98/2016. Atenţie: 1. Nedepunerea DUAE odată cu oferta (inclusiv pentru asociat/terț susținător, subcontractant) atrage respingerea acesteia ca inacceptabilă. Nota: Operatorii economici nerezidenţi (străini) au dreptul de a prezenta pentru demonstrarea faptului că nu se regăsesc în situaţiile prevăzuta la art. 164, 165 şi 167 din Legea nr. 98/2016, orice document considerat edificator, din acest punct de vedere, în ţara de origine sau în ţara în care ofertantul este stabilit, cum ar fi certificate, caziere judiciare sau alte documente echivalente emise de autorităţi competente din ţara respectivă. Documentele se vor prezenta însoţite de traducerea autorizata în limba română.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2. Evitarea conflictului de interese. Completare şi semnare Declaraţie pe propria răspundere privind neîncadrarea în situaţiile de conflict de interese prevăzute în art. 58-60 din Legea nr. 98/2016.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În acest sens, ofertantul, ofertantul asociat, tertul sustinător si subcontractantul nu trebuie să se afle în conflict de interese cu următoarele persoane cu functie de decizie din cadrul autoritătii contractante: </w:t>
      </w:r>
    </w:p>
    <w:p>
      <w:pPr>
        <w:spacing w:after="160" w:line="259" w:lineRule="auto"/>
        <w:jc w:val="both"/>
        <w:rPr>
          <w:rFonts w:hint="default" w:ascii="Times New Roman" w:hAnsi="Times New Roman" w:eastAsia="Calibri" w:cs="Times New Roman"/>
          <w:b/>
          <w:bCs/>
          <w:sz w:val="22"/>
          <w:szCs w:val="22"/>
          <w:lang w:eastAsia="en-US"/>
        </w:rPr>
      </w:pPr>
      <w:r>
        <w:rPr>
          <w:rFonts w:hint="default" w:ascii="Times New Roman" w:hAnsi="Times New Roman" w:eastAsia="Calibri" w:cs="Times New Roman"/>
          <w:b/>
          <w:bCs/>
          <w:sz w:val="22"/>
          <w:szCs w:val="22"/>
          <w:highlight w:val="yellow"/>
          <w:lang w:eastAsia="en-US"/>
        </w:rPr>
        <w:t>Persoanele cu funcţii de decizie în cadrul autorității contractante sunt: ..................</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b) Capacitatea de exercitare a activităţii profesionale:</w:t>
      </w:r>
    </w:p>
    <w:p>
      <w:pPr>
        <w:spacing w:after="160" w:line="259" w:lineRule="auto"/>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 xml:space="preserve">Cerinta nr. 1: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Se vor prezenta documente care dovedesc forma de înregistrare a operatorului economic, respectiv Certificatul constatator emis de Oficiul Registrului Comerțului în raza căruia este situat sediul ofertantului din care să rezulte cel puțin informațiile legate de: structura acționarilor și a reprezentanților legali, obiectul de activitate, modul de organizare și funcționare al operatorului economic, împrejurarea dacă societatea se află în stare de dizolvare, lichidare sau insolvență. Certificatul constatator trebuie să conțină date actuale/reale la momentul prezentării.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Nota nr. 1: Până la termenul limită stabilit pentru depunerea ofertelor, operatorii economici participanti vor prezenta D.U.A.E. (Documentul Unic de Achizitie European) atasat documentatiei de atribuire, conform art. 193 alin. (1) din Legea 98/2016, completat în mod corespunzător de fiecare entitate participantă în parte (după caz, ofertant, ofertant asociat, subcontractant declarat, terț susținător), în scopul de a face dovada preliminară a îndeplinirii cerintelor mentionate anterior.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Înainte de atribuirea contractului, autoritatea contractantă va solicita ofertantului clasat pe primul loc după aplicarea criteriului de atribuire să prezinte documentele justificative prin care confirmă îndeplinirea tuturor criteriilor de calificare, în conformitate cu cerintele stabilite prin DUAE si prin documentatia de atribuire.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Nota 2: Obiectul contractului trebuie să aibă corespondent în codul CAEN din Certificatul Constatator emis de ONRC, iar ofertantul trebuie să fie autorizat să desfășoare activitățile aferente contractului, conform art. 15 din Legea nr. 359/2004.</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Nota 3: Operatorii economici nerezidenti (straini): vor prezenta documente echivalente care dovedesc o formă de înregistrare/ autorizare ori apartenenta din punct de vedere profesional în conditiile legii din tara de rezidentă, din care sa rezulte că operatorul economic este adecvat constituit, că nu se află în niciuna din situatiile de anulare a constituirii si că are capacitatea profesională de a realiza activitatile care fac obiectul prezentului contract în corelare cu cerintele mai sus mentionate si reglementarile aplicabile în tara de origine/ tara în care operatorul economic este stabilit.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Nota 4: În cazul participării la procedură cu ofertă comună, cerintele aferente acestui criteriu de calificare trebuie îndeplinite de către fiecare asociat pentru partea de contract pe care o realizează.</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Justificare: Solicitarea acestei cerințe rezidă din obligațiile autorității contractante de a verifica respectarea de către operatorii economici a cerințelor privind stabilirea condițiilor, termenelor și procedurilor de acordare, suspendare și retragere a autorizațiilor de funcționare sau alte documente echivalente din care sa rezulte competenta acestora de a realiza activitățile care fac obiectul prezentului contract.</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Totodată, un astfel de document oferă autorității contractante informații cu privire la sediul social al ofertantului, sediile/punctele de lucru secundare, persoane împuternicite, structura acționarilor, obiectul de activitate, modul de organizare și funcționare al operatorului economic în vederea asigurării îndeplinirii cerințelor documentației de atribuire.</w:t>
      </w:r>
    </w:p>
    <w:p>
      <w:pPr>
        <w:spacing w:after="160" w:line="259" w:lineRule="auto"/>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Cerinta nr. 2:</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Ofertantul va prezența autorizațiile necesare exercitării activității profesionale pentru îndeplinirea contractului ce face obiectul prezenței proceduri, în valabilitate la data prezentarii acestuia.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 xml:space="preserve">A) Persoane juridice/fizice române -  Atestat ANRE tip Be, în conformitate cu art. 8 din Ordinul nr. 45/2016– se vor prezența copii ale atestatelor conform cu originalul. </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B) Persoane juridice/fizice străine – Operatorii economic nerezidenți vor prezenta documente echivalente emise de autoritățile competente din țara de rezidență.</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Justificare: Entitatea contractantă trebuie să se asigure asupra faptului că operatorii economici ofertanți au dreptul de a desfășura activități economice conform legislației în vigoare. Temeiul legal al cerinței, rezidă in prevederile art.173 din Legea nr. 98/2016, în baza cărora:</w:t>
      </w:r>
    </w:p>
    <w:p>
      <w:pPr>
        <w:spacing w:after="160" w:line="259" w:lineRule="auto"/>
        <w:jc w:val="both"/>
        <w:rPr>
          <w:rFonts w:hint="default" w:ascii="Times New Roman" w:hAnsi="Times New Roman" w:eastAsia="Calibri" w:cs="Times New Roman"/>
          <w:i/>
          <w:sz w:val="22"/>
          <w:szCs w:val="22"/>
          <w:lang w:eastAsia="en-US"/>
        </w:rPr>
      </w:pPr>
      <w:r>
        <w:rPr>
          <w:rFonts w:hint="default" w:ascii="Times New Roman" w:hAnsi="Times New Roman" w:eastAsia="Calibri" w:cs="Times New Roman"/>
          <w:i/>
          <w:sz w:val="22"/>
          <w:szCs w:val="22"/>
          <w:lang w:eastAsia="en-US"/>
        </w:rPr>
        <w:t>1) Autoritatea contractantă are dreptul de a solicita oricărui operator economic să prezinte documente relevante care să dovedească forma de înregistrare și, după caz, de atestare ori apartenență din punct de vedere profesional, în conformitate cu cerințele legale din țara în care este stabilit operatorul economic.</w:t>
      </w:r>
    </w:p>
    <w:p>
      <w:pPr>
        <w:spacing w:after="160" w:line="259" w:lineRule="auto"/>
        <w:jc w:val="both"/>
        <w:rPr>
          <w:rFonts w:hint="default" w:ascii="Times New Roman" w:hAnsi="Times New Roman" w:eastAsia="Calibri" w:cs="Times New Roman"/>
          <w:i/>
          <w:sz w:val="22"/>
          <w:szCs w:val="22"/>
          <w:lang w:eastAsia="en-US"/>
        </w:rPr>
      </w:pPr>
      <w:r>
        <w:rPr>
          <w:rFonts w:hint="default" w:ascii="Times New Roman" w:hAnsi="Times New Roman" w:eastAsia="Calibri" w:cs="Times New Roman"/>
          <w:i/>
          <w:sz w:val="22"/>
          <w:szCs w:val="22"/>
          <w:lang w:eastAsia="en-US"/>
        </w:rPr>
        <w:t>(2) În procedurile de atribuire a contractelor de achiziție publică de servicii, în cazul în care este necesar ca operatorii economici să dețină o autorizație specială sau să fie membri ai unei anumite organizații pentru a putea presta serviciile în cauză în statul de origine, autoritatea contractantă are dreptul de a solicita acestora să demonstreze că dețin o astfel de autorizație sau că sunt membri ai unei astfel de organizații.</w:t>
      </w:r>
    </w:p>
    <w:p>
      <w:pPr>
        <w:spacing w:after="160" w:line="259" w:lineRule="auto"/>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Notă: În cazul în care oferta este depusă de o asociere, cerință este considerată îndeplinită dacă fiecare asociat deține respectivul atestat/respectiva autorizație prin raportare la partea de contract pe care o va îndeplini.</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In plus, necesitatea ca operatorii economici să dețină o autorizații ANRE pentru prestarea serviciilor care fac obiectul prezentului contract este determinată de prevederile Ordinului  nr. 45/2016 </w:t>
      </w:r>
      <w:r>
        <w:rPr>
          <w:rFonts w:hint="default" w:ascii="Times New Roman" w:hAnsi="Times New Roman" w:cs="Times New Roman"/>
          <w:i/>
          <w:sz w:val="22"/>
          <w:szCs w:val="22"/>
          <w:lang w:eastAsia="en-US"/>
        </w:rPr>
        <w:t>privind aprobarea Regulamentului pentru atestarea operatorilor economici care proiectează, execută și verifică instalații electrice</w:t>
      </w:r>
      <w:r>
        <w:rPr>
          <w:rFonts w:hint="default" w:ascii="Times New Roman" w:hAnsi="Times New Roman" w:cs="Times New Roman"/>
          <w:sz w:val="22"/>
          <w:szCs w:val="22"/>
          <w:lang w:eastAsia="en-US"/>
        </w:rPr>
        <w:t>.</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În acest sens prezintă relevanță dispozițiile art. 1 alin. (1) din Regulament potrivit cărora:</w:t>
      </w:r>
    </w:p>
    <w:p>
      <w:pPr>
        <w:spacing w:after="120" w:line="300" w:lineRule="exact"/>
        <w:ind w:left="567"/>
        <w:jc w:val="both"/>
        <w:rPr>
          <w:rFonts w:hint="default" w:ascii="Times New Roman" w:hAnsi="Times New Roman" w:cs="Times New Roman"/>
          <w:b w:val="0"/>
          <w:bCs/>
          <w:sz w:val="22"/>
          <w:szCs w:val="22"/>
          <w:lang w:eastAsia="en-US"/>
        </w:rPr>
      </w:pPr>
      <w:r>
        <w:rPr>
          <w:rFonts w:hint="default" w:ascii="Times New Roman" w:hAnsi="Times New Roman" w:cs="Times New Roman"/>
          <w:b w:val="0"/>
          <w:bCs/>
          <w:i/>
          <w:sz w:val="22"/>
          <w:szCs w:val="22"/>
          <w:lang w:eastAsia="en-US"/>
        </w:rPr>
        <w:t>Atestat de tip B - proiectare și executare de instalații electrice exterioare/interioare pentru incinte/construcții civile și industriale, branșamente aeriene și subterane, la tensiunea nominală de 0,4 kV; include competențele atestatelor de tip Bp, Be, Bi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f) Atestat de tip Bp - proiectare de instalații electrice exterioare/interioare pentru incinte/construcții civile și industriale, branșamente aeriene și subterane, la tensiunea nominală de 0,4 kV;</w:t>
      </w:r>
    </w:p>
    <w:p>
      <w:pPr>
        <w:spacing w:after="120" w:line="300" w:lineRule="exact"/>
        <w:ind w:left="567"/>
        <w:jc w:val="both"/>
        <w:rPr>
          <w:rFonts w:hint="default" w:ascii="Times New Roman" w:hAnsi="Times New Roman" w:cs="Times New Roman"/>
          <w:b/>
          <w:bCs/>
          <w:sz w:val="22"/>
          <w:szCs w:val="22"/>
          <w:lang w:eastAsia="en-US"/>
        </w:rPr>
      </w:pPr>
      <w:r>
        <w:rPr>
          <w:rFonts w:hint="default" w:ascii="Times New Roman" w:hAnsi="Times New Roman" w:cs="Times New Roman"/>
          <w:b/>
          <w:bCs/>
          <w:i/>
          <w:sz w:val="22"/>
          <w:szCs w:val="22"/>
          <w:lang w:eastAsia="en-US"/>
        </w:rPr>
        <w:t>g) Atestat de tip Be - executare de instalații electrice exterioare/interioare pentru incinte/construcții civile și industriale, branșamente aeriene și subterane, la tensiunea nominală de 0,4 kV; include competențele atestatelor de tip Bi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h) Atestat de tip Bi - executare de instalații electrice exterioare/interioare pentru incinte/construcții civile și industriale; include competențele atestatului de tip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i) Atestat de tip C1A - proiectare de linii electrice, aeriene sau subterane, cu tensiuni nominale de 0,4 kV - 20 kV, posturi de transformare cu tensiunea nominală superioară de cel mult 20 kV, stații de medie tensiune, precum și partea electrică de medie tensiune a stațiilor de înaltă tensiune; include competențele atestatului de tip Bp;</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j) Atestat de tip C1B - proiectare de linii electrice, aeriene sau subterane, cu tensiuni nominale de 0,4 kV - 110 kV, posturi de transformare cu tensiunea nominală superioară de cel mult 20 kV, stații de medie tensiune și 110 kV, precum și partea electrică de medie tensiune a stațiilor cu tensiuni nominale mai mari sau egale cu 110 kV; include competențele atestatelor de tip C1A și Bp;</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k) Atestat de tip C2A - executare de linii electrice, aeriene sau subterane, cu tensiuni nominale de 0,4 kV - 20 kV, posturi de transformare cu tensiunea nominală superioară de cel mult 20 kV, stații de medie tensiune, precum și partea electrică de medie tensiune a stațiilor de înaltă tensiune; include competențele atestatelor de tip Be, Bi, A2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l) Atestat de tip C2B - executare de linii electrice, aeriene sau subterane, cu tensiuni nominale de 0,4 kV - 110 kV, posturi de transformare cu tensiunea nominală superioară de cel mult 20 kV, stații de medie tensiune și 110 kV, precum și partea electrică de medie tensiune a stațiilor cu tensiuni nominale mai mari sau egale cu 110 kV; include competențele atestatelor de tip Be, Bi, C2A, A2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m) Atestat de tip D1 - proiectare de linii electrice aeriene și subterane cu orice tensiuni nominale standardizate; include competențele atestatelor de tip C1B, C1A și Bp;</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n) Atestat de tip D2 - executare de linii electrice aeriene și subterane cu orice tensiuni nominale standardizate; include competențele atestatelor de tip C2B, C2A, Be, Bi, A, A2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o) Atestat de tip E1 - proiectare de posturi de transformare, stații electrice și de instalații aparținând părții electrice a centralelor cu orice tensiuni nominale standardizate; include competențele atestatelor de tip C1B, C1A și Bp;</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p) Atestat de tip E2 - executare de posturi de transformare, stații electrice și de lucrări la partea electrică a centralelor cu orice tensiuni nominale standardizate; include competențele atestatelor de tip E2PA, C2B, C2A, Be, Bi, A, A2 și A1;</w:t>
      </w:r>
    </w:p>
    <w:p>
      <w:pPr>
        <w:spacing w:after="120" w:line="300" w:lineRule="exact"/>
        <w:ind w:left="567"/>
        <w:jc w:val="both"/>
        <w:rPr>
          <w:rFonts w:hint="default" w:ascii="Times New Roman" w:hAnsi="Times New Roman" w:cs="Times New Roman"/>
          <w:sz w:val="22"/>
          <w:szCs w:val="22"/>
          <w:lang w:eastAsia="en-US"/>
        </w:rPr>
      </w:pPr>
      <w:r>
        <w:rPr>
          <w:rFonts w:hint="default" w:ascii="Times New Roman" w:hAnsi="Times New Roman" w:cs="Times New Roman"/>
          <w:i/>
          <w:sz w:val="22"/>
          <w:szCs w:val="22"/>
          <w:lang w:eastAsia="en-US"/>
        </w:rPr>
        <w:t>q) Atestat de tip E2PA - executare de lucrări la instalații electrice de protecție și automatizări din stațiile electrice.”</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Astfel, autoritatea contractantă se asigură de faptul că operatorii economici participanți la procedura de atribuire îndeplinesc criteriile minime prevăzute de lege în vederea realizării proiectării și execuției lucrărilor electrice care fac obiectul contractului la nivelul de siguranță și calitate stabilit prin normativele și standardele în vigoare.</w:t>
      </w: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 xml:space="preserve">c) Capacitatea tehnică și/sau profesională </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bCs/>
          <w:sz w:val="22"/>
          <w:szCs w:val="22"/>
          <w:lang w:eastAsia="en-US"/>
        </w:rPr>
        <w:t>Informatii si/sau nivel(uri) minim(e) necesare pentru evaluarea respectarii cerintelor mentionate:</w:t>
      </w:r>
      <w:r>
        <w:rPr>
          <w:rFonts w:hint="default" w:ascii="Times New Roman" w:hAnsi="Times New Roman" w:eastAsia="Calibri" w:cs="Times New Roman"/>
          <w:b/>
          <w:sz w:val="22"/>
          <w:szCs w:val="22"/>
          <w:lang w:eastAsia="en-US"/>
        </w:rPr>
        <w:t xml:space="preserve"> </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Pentru contractele de achiziție de servicii: executarea de servicii de tipul specificat</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bCs/>
          <w:sz w:val="22"/>
          <w:szCs w:val="22"/>
          <w:lang w:eastAsia="en-US"/>
        </w:rPr>
        <w:t>Modalitatea de indeplinire:</w:t>
      </w:r>
      <w:r>
        <w:rPr>
          <w:rFonts w:hint="default" w:ascii="Times New Roman" w:hAnsi="Times New Roman" w:eastAsia="Calibri" w:cs="Times New Roman"/>
          <w:b/>
          <w:sz w:val="22"/>
          <w:szCs w:val="22"/>
          <w:lang w:eastAsia="en-US"/>
        </w:rPr>
        <w:t xml:space="preserve"> </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 xml:space="preserve">Ofertantul trebuie să demonstreze că a prestat servicii similare a căror valoare cumulată a fost de minim </w:t>
      </w:r>
      <w:r>
        <w:rPr>
          <w:rFonts w:hint="default" w:eastAsia="Calibri" w:cs="Times New Roman"/>
          <w:bCs/>
          <w:sz w:val="22"/>
          <w:szCs w:val="22"/>
          <w:lang w:eastAsia="en-US"/>
        </w:rPr>
        <w:t xml:space="preserve">270 000 </w:t>
      </w:r>
      <w:r>
        <w:rPr>
          <w:rFonts w:hint="default" w:ascii="Times New Roman" w:hAnsi="Times New Roman" w:eastAsia="Calibri" w:cs="Times New Roman"/>
          <w:bCs/>
          <w:sz w:val="22"/>
          <w:szCs w:val="22"/>
          <w:lang w:eastAsia="en-US"/>
        </w:rPr>
        <w:t>lei fără TVA, realizată în cadrul a cel mult doua contracte.</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Ofertantul va prezenta o listă a serviciilor similare duse la bun sfârșit în ultimii 3 ani, cu indicarea valorilor, perioadelor de prestare și la beneficiarilor publici sau privați, însoțită de certificări de bună execuție, documente constatatoare sau echivalent. Prin sintagma „duse la bun sfârșit” se înțelege:</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 xml:space="preserve">a) servicii recepționate parțial, cu condiția ca specificul contractului/activităților ce reprezintă experiență similară să permită elaborarea unui livrabil care să poată fi utilizat de beneficiar ca rezultat independent; b) servicii recepționate la sfârșitul prestării; sfârșitul prestării nu presupune expirarea perioadei de garanție. Note: 1. Prin servicii similare se înțeleg: - servicii de întreținere/mentenanță instalații electrice exterioare de joasă tensiune (0,4 kv) sau - realizarea de rețele electrice de iluminat public/privat </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 xml:space="preserve"> 2. Pentru demonstrarea indeplinirii cerintei minime de calificare, se va lua in calcul numai cota de participare a ofertantului la contractul respectiv. Cota de participare a ofertantului reprezinta proportia din valoarea finala a contractului, corespunzatoare participarii acestuia la contractul respectiv. 3. Ultimii trei ani solicitati in vederea demonstrarii experientei similare se vor calcula prin raportare la data limita de depunere a ofertelor. Eventualele decalari ale termenului limita prevazut in anuntul de participare publicat initial vor afecta modul de calcul al perioadei de raportare a experientei similare si anume, limita inferioară a perioadei de 3 ani se extinde cu perioada de timp aferentă decalării, urmând a fi considerată îndeplinită cerinţa pentru toţi operatorii care au prezentat dovada finalizării contractului de experienţă similară în intervalul de timp nou rezultat 4. In cazul unei oferte depuse in asociere, cerinta privind experienta similara poate fi indeplinita prin cumul de catre asociati.</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Ofertanții au posibilitatea de a face dovada îndeplinirii cerinței nr. 1</w:t>
      </w:r>
    </w:p>
    <w:p>
      <w:pPr>
        <w:spacing w:after="120" w:line="300" w:lineRule="exact"/>
        <w:contextualSpacing/>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fie prezentarea unui singur contract (care sa acopere prin obiectul sau serviciile similare solicitate), iar valoarea serviciilor similare sa fie de cel putin </w:t>
      </w:r>
      <w:r>
        <w:rPr>
          <w:rFonts w:hint="default" w:cs="Times New Roman"/>
          <w:color w:val="000000"/>
          <w:sz w:val="22"/>
          <w:szCs w:val="22"/>
          <w:lang w:eastAsia="en-US"/>
        </w:rPr>
        <w:t xml:space="preserve">270 000 </w:t>
      </w:r>
      <w:r>
        <w:rPr>
          <w:rFonts w:hint="default" w:ascii="Times New Roman" w:hAnsi="Times New Roman" w:cs="Times New Roman"/>
          <w:sz w:val="22"/>
          <w:szCs w:val="22"/>
          <w:lang w:eastAsia="en-US"/>
        </w:rPr>
        <w:t xml:space="preserve">lei fara TVA; </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fie prezentarea unui numar maxim de doua contracte distincte, cu conditia ca prin contractele prezentate sa fie acoperite serviciile similare solicitate, iar valoarea cumulata a serviciilor similare sa fie de cel putin </w:t>
      </w:r>
      <w:r>
        <w:rPr>
          <w:rFonts w:hint="default" w:cs="Times New Roman"/>
          <w:color w:val="000000"/>
          <w:sz w:val="22"/>
          <w:szCs w:val="22"/>
          <w:lang w:eastAsia="en-US"/>
        </w:rPr>
        <w:t xml:space="preserve">270 000 </w:t>
      </w:r>
      <w:r>
        <w:rPr>
          <w:rFonts w:hint="default" w:ascii="Times New Roman" w:hAnsi="Times New Roman" w:cs="Times New Roman"/>
          <w:color w:val="000000"/>
          <w:sz w:val="22"/>
          <w:szCs w:val="22"/>
          <w:lang w:eastAsia="en-US"/>
        </w:rPr>
        <w:t>l</w:t>
      </w:r>
      <w:r>
        <w:rPr>
          <w:rFonts w:hint="default" w:ascii="Times New Roman" w:hAnsi="Times New Roman" w:cs="Times New Roman"/>
          <w:sz w:val="22"/>
          <w:szCs w:val="22"/>
          <w:lang w:eastAsia="en-US"/>
        </w:rPr>
        <w:t>ei fara TVA.</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În consecință, cerințele de calificare prin care s-a solicitat dovada prestarii de servicii de intretinere/mentenanta instalatii electrice sau realizarea de retele electrice de iluminat au legătură cu obiectul și natura contractului iar operatorii economici care au prestat asemenea servicii fac dovada că dețin acel potențialul tehnic ce reflectă posibilitatea concretă de a îndeplini contractul de achiziție publică și de a rezolva eventualele dificultăți legate de îndeplinirea acestuia, în cazul în care oferta sa va fi declarată câștigătoare, în conformitate cu prevederile art. 29 alin. (1) din H.G. nr. 395/2016.</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De asemenea, ținând seama de scopul impunerii cerințelor minime de calificare, prezentarea a maximum 2 contracte pentru demonstrarea capacității tehnice, care însumate să atingă pragul valoric impus  si nu are caracter restrictiv și nu reprezintă o cerință disproporționată în raport cu natura și complexitatea prezentului contract. </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În acest sens, având în vedere valoarea și complexitatea contractului ce va fi încheiat, execuția unor prestarea de servici similare in cadrul a cel mult 2 contracte reprezintă un element obiectiv și suficient, ce conferă autorității contractante certitudinea că operatorul economic ce va fi declarat câștigător are o capacitate profesională suficientă pentru a susține contractul prin raportare la caracterul specific al activităţilor presupuse de acesta. </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Având în vedere cele de mai sus, solicitarea unei minime experiențe în domeniu este conformă cu reglementările în vigoare în materie de achiziții publice și nu aduce atingere principiilor tratamentului egal și al nediscriminării în condițiile în care, documentația de atribuire le permite ofertanților care nu au derulat astfel de contracte, asocierea cu cei care dovedesc performanța solicitată în acest domeniu sau chiar susținerea acordată de către un terț operator economic, însă care va garanta autorității contractante îndeplinirea completa și reglementară a obligațiilor contractuale de către ofertant, în conformitate cu regulile specifice instituției susținerii profesionale.</w:t>
      </w:r>
    </w:p>
    <w:p>
      <w:pPr>
        <w:spacing w:after="120" w:line="300" w:lineRule="exact"/>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Astfel, considerăm că pentru asigurarea eficientizării muncii depuse, atât la nivelul performanțelor, cât și al productivității, în termeni de timp și, implicit, de costuri, este necesară îndeplinirea cerințelor minime privind experiența similară de specialitate, așa cum este aceasta specificată mai sus.</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Cerinta nr. 2</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Utilaje, instalații și echipament tehnic</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 xml:space="preserve">Modalitatea de indeplinire: </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Ofertantul trebuie sa faca dovada ca are asigurate echipamentele, utilajele si mijloacele de transport necesare pentru indeplinirea contractului. Ofertantul va face dovada ca dispune minim de urmatoarele utilaje si echipamente necesare indeplinirii contractului:</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w:t>
      </w:r>
      <w:r>
        <w:rPr>
          <w:rFonts w:hint="default" w:eastAsia="Calibri" w:cs="Times New Roman"/>
          <w:bCs/>
          <w:sz w:val="22"/>
          <w:szCs w:val="22"/>
          <w:lang w:eastAsia="en-US"/>
        </w:rPr>
        <w:t>1</w:t>
      </w:r>
      <w:r>
        <w:rPr>
          <w:rFonts w:hint="default" w:ascii="Times New Roman" w:hAnsi="Times New Roman" w:eastAsia="Calibri" w:cs="Times New Roman"/>
          <w:bCs/>
          <w:sz w:val="22"/>
          <w:szCs w:val="22"/>
          <w:lang w:eastAsia="en-US"/>
        </w:rPr>
        <w:t xml:space="preserve"> autoutilitar</w:t>
      </w:r>
      <w:r>
        <w:rPr>
          <w:rFonts w:hint="default" w:eastAsia="Calibri" w:cs="Times New Roman"/>
          <w:bCs/>
          <w:sz w:val="22"/>
          <w:szCs w:val="22"/>
          <w:lang w:eastAsia="en-US"/>
        </w:rPr>
        <w:t>a</w:t>
      </w:r>
      <w:r>
        <w:rPr>
          <w:rFonts w:hint="default" w:ascii="Times New Roman" w:hAnsi="Times New Roman" w:eastAsia="Calibri" w:cs="Times New Roman"/>
          <w:bCs/>
          <w:sz w:val="22"/>
          <w:szCs w:val="22"/>
          <w:lang w:eastAsia="en-US"/>
        </w:rPr>
        <w:t xml:space="preserve"> tip PRB </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-1 mijloc de transport persoane și materiale</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Modalitatea de indeplinire a cerintei:</w:t>
      </w:r>
    </w:p>
    <w:p>
      <w:pPr>
        <w:autoSpaceDE w:val="0"/>
        <w:autoSpaceDN w:val="0"/>
        <w:adjustRightInd w:val="0"/>
        <w:spacing w:after="120" w:line="300" w:lineRule="exact"/>
        <w:jc w:val="both"/>
        <w:rPr>
          <w:rFonts w:hint="default" w:ascii="Times New Roman" w:hAnsi="Times New Roman" w:eastAsia="Calibri" w:cs="Times New Roman"/>
          <w:bCs/>
          <w:sz w:val="22"/>
          <w:szCs w:val="22"/>
          <w:lang w:eastAsia="en-US"/>
        </w:rPr>
      </w:pPr>
      <w:r>
        <w:rPr>
          <w:rFonts w:hint="default" w:ascii="Times New Roman" w:hAnsi="Times New Roman" w:eastAsia="Calibri" w:cs="Times New Roman"/>
          <w:bCs/>
          <w:sz w:val="22"/>
          <w:szCs w:val="22"/>
          <w:lang w:eastAsia="en-US"/>
        </w:rPr>
        <w:t>Operatorul economic clasat pe locul 1 in clasamentul intocmit la finalizarea evaluarii ofertelor poate face dovada detinerii in proprietate si/sau in chirie a resurselor tehnice solicitate prin prezentarea in copie conform cu originalul a cartii de identitate si a talonului pentru</w:t>
      </w:r>
      <w:r>
        <w:rPr>
          <w:rFonts w:hint="default" w:eastAsia="Calibri" w:cs="Times New Roman"/>
          <w:bCs/>
          <w:sz w:val="22"/>
          <w:szCs w:val="22"/>
          <w:lang w:eastAsia="en-US"/>
        </w:rPr>
        <w:t xml:space="preserve"> </w:t>
      </w:r>
      <w:r>
        <w:rPr>
          <w:rFonts w:hint="default" w:ascii="Times New Roman" w:hAnsi="Times New Roman" w:eastAsia="Calibri" w:cs="Times New Roman"/>
          <w:bCs/>
          <w:sz w:val="22"/>
          <w:szCs w:val="22"/>
          <w:lang w:eastAsia="en-US"/>
        </w:rPr>
        <w:t>autovehiculele solicitate si a contractului de servicii de inchiriere (in cazul inchirierii autovehicului sau utilajului), precum si a altor documente: conventie, facturi de achizitie etc., care sa ateste faptul ca resursele tehnice solicitate se afla in dotarea si la dispozitia acestuia. Pentru autoutilitarele cu brat telescopic, ofertantul clasat pe locul 1 in clasamentul intermediar intocmit la finalizarea evaluarii ofertelor, va prezenta in copie conform cu originalul procesul-verbal de verificare tehnica din care sa reiasa admiterea in functionare efectuata in baza Legii nr. 64/2008 si a prescriptiilor tehnice pentru masini de ridicat (autorizatie ISCIR valabila).</w:t>
      </w:r>
    </w:p>
    <w:p>
      <w:pPr>
        <w:autoSpaceDE w:val="0"/>
        <w:autoSpaceDN w:val="0"/>
        <w:adjustRightInd w:val="0"/>
        <w:spacing w:after="120" w:line="300" w:lineRule="exact"/>
        <w:jc w:val="both"/>
        <w:rPr>
          <w:rFonts w:hint="default" w:ascii="Times New Roman" w:hAnsi="Times New Roman" w:eastAsia="Calibri" w:cs="Times New Roman"/>
          <w:b/>
          <w:sz w:val="22"/>
          <w:szCs w:val="22"/>
          <w:lang w:eastAsia="en-US"/>
        </w:rPr>
      </w:pPr>
      <w:r>
        <w:rPr>
          <w:rFonts w:hint="default" w:ascii="Times New Roman" w:hAnsi="Times New Roman" w:eastAsia="Calibri" w:cs="Times New Roman"/>
          <w:b/>
          <w:sz w:val="22"/>
          <w:szCs w:val="22"/>
          <w:lang w:eastAsia="en-US"/>
        </w:rPr>
        <w:t xml:space="preserve">Justificare: </w:t>
      </w:r>
    </w:p>
    <w:p>
      <w:pPr>
        <w:spacing w:after="160" w:line="276" w:lineRule="auto"/>
        <w:contextualSpacing/>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Solicitarea acestei cerinte de catre Autoritatea Contractanta rezida din obligatia instituita </w:t>
      </w:r>
      <w:r>
        <w:rPr>
          <w:rFonts w:hint="default" w:ascii="Times New Roman" w:hAnsi="Times New Roman" w:cs="Times New Roman"/>
          <w:i/>
          <w:sz w:val="22"/>
          <w:szCs w:val="22"/>
          <w:lang w:eastAsia="en-US"/>
        </w:rPr>
        <w:t>prin  Ordinul ANRE 45/2016 - aprobarea Regulamentului pentru atestarea operatorilor economici care proiecteaza, executa și verifica instalatiile electrice</w:t>
      </w:r>
      <w:r>
        <w:rPr>
          <w:rFonts w:hint="default" w:ascii="Times New Roman" w:hAnsi="Times New Roman" w:cs="Times New Roman"/>
          <w:sz w:val="22"/>
          <w:szCs w:val="22"/>
          <w:lang w:eastAsia="en-US"/>
        </w:rPr>
        <w:t xml:space="preserve"> ca operatorul economic sa aibă la dispozitie dotari tehnico-materiale minime conform Anexei 4 din Regulament.</w:t>
      </w:r>
    </w:p>
    <w:p>
      <w:pPr>
        <w:spacing w:after="160" w:line="276" w:lineRule="auto"/>
        <w:jc w:val="both"/>
        <w:rPr>
          <w:rFonts w:hint="default" w:ascii="Times New Roman" w:hAnsi="Times New Roman" w:cs="Times New Roman"/>
          <w:sz w:val="22"/>
          <w:szCs w:val="22"/>
          <w:lang w:eastAsia="en-US"/>
        </w:rPr>
      </w:pPr>
    </w:p>
    <w:p>
      <w:pPr>
        <w:spacing w:after="160" w:line="276" w:lineRule="auto"/>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g) obiectivul din strategia locală/regională/naţională de dezvoltare la a cărui realizare contribuie contractul/acordul- cadru respectiv, dacă este cazul;</w:t>
      </w:r>
    </w:p>
    <w:p>
      <w:pPr>
        <w:spacing w:after="160" w:line="276" w:lineRule="auto"/>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Nu este cazul.</w:t>
      </w:r>
    </w:p>
    <w:p>
      <w:pPr>
        <w:spacing w:after="160"/>
        <w:jc w:val="both"/>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h) orice alte elemente relevante pentru îndeplinirea necesităţilor autorităţii contractante.</w:t>
      </w:r>
    </w:p>
    <w:p>
      <w:pPr>
        <w:spacing w:after="160"/>
        <w:jc w:val="both"/>
        <w:rPr>
          <w:rFonts w:hint="default" w:ascii="Times New Roman" w:hAnsi="Times New Roman" w:cs="Times New Roman"/>
          <w:sz w:val="22"/>
          <w:szCs w:val="22"/>
        </w:rPr>
      </w:pPr>
      <w:r>
        <w:rPr>
          <w:rFonts w:hint="default" w:ascii="Times New Roman" w:hAnsi="Times New Roman" w:cs="Times New Roman"/>
          <w:sz w:val="22"/>
          <w:szCs w:val="22"/>
          <w:lang w:eastAsia="en-US"/>
        </w:rPr>
        <w:t>Nu este cazul.</w:t>
      </w:r>
    </w:p>
    <w:sectPr>
      <w:footerReference r:id="rId4" w:type="default"/>
      <w:pgSz w:w="11906" w:h="16838"/>
      <w:pgMar w:top="567"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15</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6552609">
    <w:nsid w:val="11147221"/>
    <w:multiLevelType w:val="multilevel"/>
    <w:tmpl w:val="11147221"/>
    <w:lvl w:ilvl="0" w:tentative="1">
      <w:start w:val="0"/>
      <w:numFmt w:val="bullet"/>
      <w:lvlText w:val="-"/>
      <w:lvlJc w:val="left"/>
      <w:pPr>
        <w:ind w:left="720" w:hanging="360"/>
      </w:pPr>
      <w:rPr>
        <w:rFonts w:hint="default" w:ascii="Arial" w:hAnsi="Arial" w:eastAsia="Times New Roman"/>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71882598">
    <w:nsid w:val="280C1D66"/>
    <w:multiLevelType w:val="multilevel"/>
    <w:tmpl w:val="280C1D66"/>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286552609"/>
  </w:num>
  <w:num w:numId="2">
    <w:abstractNumId w:val="671882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drawingGridHorizontalSpacing w:val="0"/>
  <w:displayHorizontalDrawingGridEvery w:val="1"/>
  <w:displayVerticalDrawingGridEvery w:val="1"/>
  <w:noPunctuationKerning w:val="1"/>
  <w:characterSpacingControl w:val="doNotCompress"/>
  <w:compat>
    <w:spaceForUL/>
    <w:doNotLeaveBackslashAlone/>
    <w:ulTrailSpace/>
    <w:doNotBreakWrappedTables/>
    <w:doNotWrapTextWithPunct/>
    <w:doNotUseEastAsianBreakRules/>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zh-CN" w:bidi="ar-SA"/>
    </w:rPr>
  </w:style>
  <w:style w:type="character" w:default="1" w:styleId="5">
    <w:name w:val="Default Paragraph Font"/>
    <w:semiHidden/>
    <w:unhideWhenUsed/>
    <w:uiPriority w:val="1"/>
  </w:style>
  <w:style w:type="paragraph" w:styleId="2">
    <w:name w:val="Balloon Text"/>
    <w:basedOn w:val="1"/>
    <w:link w:val="13"/>
    <w:semiHidden/>
    <w:unhideWhenUsed/>
    <w:uiPriority w:val="99"/>
    <w:rPr>
      <w:rFonts w:ascii="Tahoma" w:hAnsi="Tahoma" w:cs="Tahoma"/>
      <w:sz w:val="16"/>
      <w:szCs w:val="16"/>
    </w:rPr>
  </w:style>
  <w:style w:type="paragraph" w:styleId="3">
    <w:name w:val="footer"/>
    <w:basedOn w:val="1"/>
    <w:link w:val="11"/>
    <w:unhideWhenUsed/>
    <w:uiPriority w:val="99"/>
    <w:pPr>
      <w:tabs>
        <w:tab w:val="center" w:pos="4513"/>
        <w:tab w:val="right" w:pos="9026"/>
      </w:tabs>
    </w:pPr>
  </w:style>
  <w:style w:type="paragraph" w:styleId="4">
    <w:name w:val="header"/>
    <w:basedOn w:val="1"/>
    <w:link w:val="10"/>
    <w:unhideWhenUsed/>
    <w:uiPriority w:val="99"/>
    <w:pPr>
      <w:tabs>
        <w:tab w:val="center" w:pos="4513"/>
        <w:tab w:val="right" w:pos="9026"/>
      </w:tabs>
    </w:pPr>
  </w:style>
  <w:style w:type="character" w:styleId="6">
    <w:name w:val="Hyperlink"/>
    <w:basedOn w:val="5"/>
    <w:semiHidden/>
    <w:unhideWhenUsed/>
    <w:uiPriority w:val="0"/>
    <w:rPr>
      <w:color w:val="0000FF"/>
      <w:u w:val="single"/>
    </w:rPr>
  </w:style>
  <w:style w:type="character" w:styleId="7">
    <w:name w:val="Strong"/>
    <w:qFormat/>
    <w:uiPriority w:val="22"/>
    <w:rPr>
      <w:b/>
      <w:bCs/>
    </w:rPr>
  </w:style>
  <w:style w:type="paragraph" w:customStyle="1" w:styleId="8">
    <w:name w:val="List Paragraph"/>
    <w:basedOn w:val="1"/>
    <w:link w:val="12"/>
    <w:qFormat/>
    <w:uiPriority w:val="99"/>
    <w:pPr>
      <w:ind w:left="720"/>
      <w:contextualSpacing/>
      <w:jc w:val="both"/>
    </w:pPr>
    <w:rPr>
      <w:rFonts w:ascii="Calibri" w:hAnsi="Calibri" w:eastAsia="Calibri"/>
      <w:sz w:val="22"/>
      <w:szCs w:val="22"/>
      <w:lang w:eastAsia="en-US"/>
    </w:rPr>
  </w:style>
  <w:style w:type="character" w:customStyle="1" w:styleId="9">
    <w:name w:val="Character Style 3"/>
    <w:uiPriority w:val="0"/>
    <w:rPr>
      <w:sz w:val="22"/>
      <w:szCs w:val="22"/>
    </w:rPr>
  </w:style>
  <w:style w:type="character" w:customStyle="1" w:styleId="10">
    <w:name w:val="Header Char"/>
    <w:basedOn w:val="5"/>
    <w:link w:val="4"/>
    <w:uiPriority w:val="99"/>
    <w:rPr>
      <w:rFonts w:ascii="Times New Roman" w:hAnsi="Times New Roman" w:eastAsia="Times New Roman" w:cs="Times New Roman"/>
      <w:sz w:val="20"/>
      <w:szCs w:val="20"/>
      <w:lang w:val="en-US"/>
    </w:rPr>
  </w:style>
  <w:style w:type="character" w:customStyle="1" w:styleId="11">
    <w:name w:val="Footer Char"/>
    <w:basedOn w:val="5"/>
    <w:link w:val="3"/>
    <w:uiPriority w:val="99"/>
    <w:rPr>
      <w:rFonts w:ascii="Times New Roman" w:hAnsi="Times New Roman" w:eastAsia="Times New Roman" w:cs="Times New Roman"/>
      <w:sz w:val="20"/>
      <w:szCs w:val="20"/>
      <w:lang w:val="en-US"/>
    </w:rPr>
  </w:style>
  <w:style w:type="character" w:customStyle="1" w:styleId="12">
    <w:name w:val="List Paragraph Char"/>
    <w:link w:val="8"/>
    <w:locked/>
    <w:uiPriority w:val="34"/>
    <w:rPr>
      <w:rFonts w:ascii="Calibri" w:hAnsi="Calibri" w:eastAsia="Calibri" w:cs="Times New Roman"/>
    </w:rPr>
  </w:style>
  <w:style w:type="character" w:customStyle="1" w:styleId="13">
    <w:name w:val="Balloon Text Char"/>
    <w:basedOn w:val="5"/>
    <w:link w:val="2"/>
    <w:semiHidden/>
    <w:uiPriority w:val="99"/>
    <w:rPr>
      <w:rFonts w:ascii="Tahoma" w:hAnsi="Tahoma" w:eastAsia="Times New Roman" w:cs="Tahoma"/>
      <w:sz w:val="16"/>
      <w:szCs w:val="16"/>
      <w:lang w:val="en-US"/>
    </w:rPr>
  </w:style>
  <w:style w:type="character" w:customStyle="1" w:styleId="14">
    <w:name w:val="l5def4"/>
    <w:uiPriority w:val="0"/>
    <w:rPr>
      <w:rFonts w:ascii="Arial" w:hAnsi="Arial" w:cs="Arial"/>
      <w:color w:val="000000"/>
      <w:sz w:val="26"/>
      <w:szCs w:val="2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6895</Words>
  <Characters>39308</Characters>
  <Lines>327</Lines>
  <Paragraphs>92</Paragraphs>
  <ScaleCrop>false</ScaleCrop>
  <LinksUpToDate>false</LinksUpToDate>
  <CharactersWithSpaces>0</CharactersWithSpaces>
  <Application>WPS Office_9.1.0.4759_{F1E327BC-269C-435d-A152-05C5408002CA}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2024-08-29T16:51:00Z</dcterms:created>
  <dc:creator>Cristina POPA</dc:creator>
  <cp:lastModifiedBy>Cristina.Popa</cp:lastModifiedBy>
  <dcterms:modified xsi:type="dcterms:W3CDTF">2025-02-24T11:40:04Z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